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D6301" w14:textId="74BB94D0" w:rsidR="00117536" w:rsidRDefault="001775F3" w:rsidP="00D11D12">
      <w:pPr>
        <w:ind w:left="-360"/>
        <w:jc w:val="center"/>
        <w:rPr>
          <w:rFonts w:cstheme="minorHAnsi"/>
          <w:sz w:val="36"/>
          <w:szCs w:val="36"/>
        </w:rPr>
      </w:pPr>
      <w:r>
        <w:rPr>
          <w:rFonts w:cstheme="minorHAnsi"/>
          <w:noProof/>
          <w:sz w:val="36"/>
          <w:szCs w:val="36"/>
        </w:rPr>
        <w:drawing>
          <wp:inline distT="0" distB="0" distL="0" distR="0" wp14:anchorId="5B48EB1E" wp14:editId="0EF521A0">
            <wp:extent cx="6400800" cy="4270248"/>
            <wp:effectExtent l="0" t="0" r="0" b="0"/>
            <wp:docPr id="261932231" name="Picture 2" descr="A group of people sitting at comput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32231" name="Picture 2" descr="A group of people sitting at computers&#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0800" cy="4270248"/>
                    </a:xfrm>
                    <a:prstGeom prst="rect">
                      <a:avLst/>
                    </a:prstGeom>
                  </pic:spPr>
                </pic:pic>
              </a:graphicData>
            </a:graphic>
          </wp:inline>
        </w:drawing>
      </w:r>
    </w:p>
    <w:p w14:paraId="2DDA2185" w14:textId="77777777" w:rsidR="00EE154D" w:rsidRDefault="00EE154D" w:rsidP="00EE154D">
      <w:pPr>
        <w:pStyle w:val="Header"/>
        <w:jc w:val="center"/>
        <w:rPr>
          <w:rFonts w:ascii="Georgia" w:hAnsi="Georgia"/>
          <w:b/>
          <w:color w:val="2E74B5" w:themeColor="accent1" w:themeShade="BF"/>
          <w:sz w:val="28"/>
          <w:szCs w:val="28"/>
        </w:rPr>
      </w:pPr>
    </w:p>
    <w:p w14:paraId="2CC42998" w14:textId="2A62DD8D" w:rsidR="00EE154D" w:rsidRPr="00EE154D" w:rsidRDefault="00EE154D" w:rsidP="00EE154D">
      <w:pPr>
        <w:pStyle w:val="Header"/>
        <w:jc w:val="center"/>
        <w:rPr>
          <w:rFonts w:ascii="Georgia" w:hAnsi="Georgia"/>
          <w:b/>
          <w:color w:val="2E74B5" w:themeColor="accent1" w:themeShade="BF"/>
          <w:sz w:val="48"/>
          <w:szCs w:val="48"/>
        </w:rPr>
      </w:pPr>
      <w:r w:rsidRPr="00EE154D">
        <w:rPr>
          <w:rFonts w:ascii="Georgia" w:hAnsi="Georgia"/>
          <w:b/>
          <w:color w:val="2E74B5" w:themeColor="accent1" w:themeShade="BF"/>
          <w:sz w:val="48"/>
          <w:szCs w:val="48"/>
        </w:rPr>
        <w:t>The Kevin P. Reilly, Sr. Louisiana Education Quality Trust Fund</w:t>
      </w:r>
    </w:p>
    <w:p w14:paraId="60F81198" w14:textId="77777777" w:rsidR="00EE154D" w:rsidRDefault="00EE154D" w:rsidP="00EE154D">
      <w:pPr>
        <w:pStyle w:val="Header"/>
        <w:jc w:val="center"/>
        <w:rPr>
          <w:rFonts w:ascii="Georgia" w:hAnsi="Georgia"/>
          <w:b/>
          <w:color w:val="2E74B5" w:themeColor="accent1" w:themeShade="BF"/>
          <w:sz w:val="48"/>
          <w:szCs w:val="48"/>
        </w:rPr>
      </w:pPr>
      <w:r w:rsidRPr="00EE154D">
        <w:rPr>
          <w:rFonts w:ascii="Georgia" w:hAnsi="Georgia"/>
          <w:b/>
          <w:color w:val="2E74B5" w:themeColor="accent1" w:themeShade="BF"/>
          <w:sz w:val="48"/>
          <w:szCs w:val="48"/>
        </w:rPr>
        <w:t xml:space="preserve">Annual Report </w:t>
      </w:r>
    </w:p>
    <w:p w14:paraId="089B4810" w14:textId="02E84EBB" w:rsidR="00EE154D" w:rsidRPr="00E27A63" w:rsidRDefault="00EE154D" w:rsidP="00EE154D">
      <w:pPr>
        <w:pStyle w:val="Header"/>
        <w:jc w:val="center"/>
        <w:rPr>
          <w:rFonts w:ascii="Georgia" w:hAnsi="Georgia"/>
          <w:b/>
          <w:color w:val="2E74B5" w:themeColor="accent1" w:themeShade="BF"/>
          <w:sz w:val="28"/>
          <w:szCs w:val="28"/>
        </w:rPr>
      </w:pPr>
      <w:r w:rsidRPr="00E27A63">
        <w:rPr>
          <w:rFonts w:ascii="Georgia" w:hAnsi="Georgia"/>
          <w:b/>
          <w:color w:val="2E74B5" w:themeColor="accent1" w:themeShade="BF"/>
          <w:sz w:val="28"/>
          <w:szCs w:val="28"/>
        </w:rPr>
        <w:t>for Fiscal Year 2022-2023</w:t>
      </w:r>
    </w:p>
    <w:p w14:paraId="736EE380" w14:textId="77777777" w:rsidR="00EE154D" w:rsidRPr="00905E0F" w:rsidRDefault="00EE154D" w:rsidP="00EE154D">
      <w:pPr>
        <w:pStyle w:val="Header"/>
        <w:jc w:val="center"/>
        <w:rPr>
          <w:rFonts w:ascii="Georgia" w:hAnsi="Georgia"/>
          <w:b/>
          <w:color w:val="2E74B5" w:themeColor="accent1" w:themeShade="BF"/>
          <w:sz w:val="44"/>
          <w:szCs w:val="44"/>
        </w:rPr>
      </w:pPr>
    </w:p>
    <w:p w14:paraId="16CA4C2E" w14:textId="5DDD5BED" w:rsidR="00EE154D" w:rsidRPr="00D11D12" w:rsidRDefault="00EE154D" w:rsidP="00EE154D">
      <w:pPr>
        <w:pStyle w:val="Header"/>
        <w:jc w:val="center"/>
        <w:rPr>
          <w:rFonts w:ascii="Georgia" w:hAnsi="Georgia"/>
          <w:b/>
          <w:color w:val="2E74B5" w:themeColor="accent1" w:themeShade="BF"/>
          <w:sz w:val="36"/>
          <w:szCs w:val="36"/>
        </w:rPr>
      </w:pPr>
      <w:r w:rsidRPr="00D11D12">
        <w:rPr>
          <w:sz w:val="36"/>
          <w:szCs w:val="36"/>
        </w:rPr>
        <w:t xml:space="preserve"> </w:t>
      </w:r>
      <w:r w:rsidRPr="00D11D12">
        <w:rPr>
          <w:rFonts w:ascii="Georgia" w:hAnsi="Georgia"/>
          <w:b/>
          <w:color w:val="2E74B5" w:themeColor="accent1" w:themeShade="BF"/>
          <w:sz w:val="36"/>
          <w:szCs w:val="36"/>
        </w:rPr>
        <w:t>John M. Schroder</w:t>
      </w:r>
    </w:p>
    <w:p w14:paraId="7C7C733F" w14:textId="101C697E" w:rsidR="00EE154D" w:rsidRPr="00D11D12" w:rsidRDefault="00EE154D" w:rsidP="00EE154D">
      <w:pPr>
        <w:pStyle w:val="Header"/>
        <w:jc w:val="center"/>
        <w:rPr>
          <w:rFonts w:ascii="Georgia" w:hAnsi="Georgia"/>
          <w:b/>
          <w:color w:val="2E74B5" w:themeColor="accent1" w:themeShade="BF"/>
          <w:sz w:val="36"/>
          <w:szCs w:val="36"/>
        </w:rPr>
      </w:pPr>
      <w:r w:rsidRPr="00D11D12">
        <w:rPr>
          <w:rFonts w:ascii="Georgia" w:hAnsi="Georgia"/>
          <w:b/>
          <w:color w:val="2E74B5" w:themeColor="accent1" w:themeShade="BF"/>
          <w:sz w:val="36"/>
          <w:szCs w:val="36"/>
        </w:rPr>
        <w:t>State Treasurer</w:t>
      </w:r>
    </w:p>
    <w:p w14:paraId="2155E26A" w14:textId="1EFC3E58" w:rsidR="00EE154D" w:rsidRPr="00905E0F" w:rsidRDefault="00EE154D" w:rsidP="00EE154D">
      <w:pPr>
        <w:jc w:val="center"/>
        <w:rPr>
          <w:rFonts w:ascii="Georgia" w:hAnsi="Georgia" w:cstheme="minorHAnsi"/>
          <w:sz w:val="44"/>
          <w:szCs w:val="44"/>
        </w:rPr>
      </w:pPr>
      <w:bookmarkStart w:id="0" w:name="_Hlk152225876"/>
    </w:p>
    <w:bookmarkEnd w:id="0"/>
    <w:p w14:paraId="2F5545A8" w14:textId="1D9C79DF" w:rsidR="001775F3" w:rsidRDefault="00D11D12" w:rsidP="00D11D12">
      <w:pPr>
        <w:jc w:val="center"/>
        <w:rPr>
          <w:rFonts w:cstheme="minorHAnsi"/>
          <w:sz w:val="36"/>
          <w:szCs w:val="36"/>
        </w:rPr>
      </w:pPr>
      <w:r w:rsidRPr="00120FE9">
        <w:rPr>
          <w:noProof/>
          <w:sz w:val="40"/>
          <w:szCs w:val="40"/>
        </w:rPr>
        <w:drawing>
          <wp:inline distT="0" distB="0" distL="0" distR="0" wp14:anchorId="2890610B" wp14:editId="45E7A0A9">
            <wp:extent cx="1005840" cy="10058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pic:spPr>
                </pic:pic>
              </a:graphicData>
            </a:graphic>
          </wp:inline>
        </w:drawing>
      </w:r>
      <w:r w:rsidRPr="00120FE9">
        <w:rPr>
          <w:noProof/>
          <w:sz w:val="40"/>
          <w:szCs w:val="40"/>
        </w:rPr>
        <w:drawing>
          <wp:inline distT="0" distB="0" distL="0" distR="0" wp14:anchorId="5903C168" wp14:editId="28B458EF">
            <wp:extent cx="883920" cy="1005840"/>
            <wp:effectExtent l="0" t="0" r="0" b="381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3920" cy="1005840"/>
                    </a:xfrm>
                    <a:prstGeom prst="rect">
                      <a:avLst/>
                    </a:prstGeom>
                    <a:noFill/>
                  </pic:spPr>
                </pic:pic>
              </a:graphicData>
            </a:graphic>
          </wp:inline>
        </w:drawing>
      </w:r>
      <w:r w:rsidRPr="00120FE9">
        <w:rPr>
          <w:noProof/>
        </w:rPr>
        <w:drawing>
          <wp:inline distT="0" distB="0" distL="0" distR="0" wp14:anchorId="16FC0EFF" wp14:editId="5ED7FBD7">
            <wp:extent cx="996696" cy="1005840"/>
            <wp:effectExtent l="0" t="0" r="0" b="3810"/>
            <wp:docPr id="4" name="Picture 4" descr="S:\Invest\LEQTF ANNUAL REPORT\LEQTF 2021 Annual Report\BESE Logo Staionery_Color_Print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nvest\LEQTF ANNUAL REPORT\LEQTF 2021 Annual Report\BESE Logo Staionery_Color_Print LARG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6696" cy="1005840"/>
                    </a:xfrm>
                    <a:prstGeom prst="rect">
                      <a:avLst/>
                    </a:prstGeom>
                    <a:noFill/>
                    <a:ln>
                      <a:noFill/>
                    </a:ln>
                  </pic:spPr>
                </pic:pic>
              </a:graphicData>
            </a:graphic>
          </wp:inline>
        </w:drawing>
      </w:r>
    </w:p>
    <w:p w14:paraId="7656A714" w14:textId="77777777" w:rsidR="00905E0F" w:rsidRDefault="00905E0F" w:rsidP="00905E0F">
      <w:pPr>
        <w:rPr>
          <w:rFonts w:cstheme="minorHAnsi"/>
          <w:sz w:val="36"/>
          <w:szCs w:val="36"/>
        </w:rPr>
      </w:pPr>
    </w:p>
    <w:p w14:paraId="2347028D" w14:textId="0566E4DE" w:rsidR="000B75EB" w:rsidRPr="00B5283A" w:rsidRDefault="000B75EB" w:rsidP="00905E0F">
      <w:pPr>
        <w:rPr>
          <w:rFonts w:cstheme="minorHAnsi"/>
          <w:sz w:val="36"/>
          <w:szCs w:val="36"/>
        </w:rPr>
      </w:pPr>
      <w:r w:rsidRPr="00B5283A">
        <w:rPr>
          <w:rFonts w:cstheme="minorHAnsi"/>
          <w:sz w:val="36"/>
          <w:szCs w:val="36"/>
        </w:rPr>
        <w:lastRenderedPageBreak/>
        <w:t>History of the LEQTF</w:t>
      </w:r>
    </w:p>
    <w:p w14:paraId="76399211" w14:textId="77777777" w:rsidR="000B75EB" w:rsidRPr="00B5283A" w:rsidRDefault="000B75EB" w:rsidP="00B5283A">
      <w:pPr>
        <w:jc w:val="both"/>
        <w:rPr>
          <w:rFonts w:cstheme="minorHAnsi"/>
        </w:rPr>
      </w:pPr>
    </w:p>
    <w:p w14:paraId="19A594E2" w14:textId="77777777" w:rsidR="000B75EB" w:rsidRPr="00B5283A" w:rsidRDefault="000B75EB" w:rsidP="00B5283A">
      <w:pPr>
        <w:jc w:val="both"/>
        <w:rPr>
          <w:rFonts w:cstheme="minorHAnsi"/>
          <w:sz w:val="24"/>
          <w:szCs w:val="24"/>
        </w:rPr>
      </w:pPr>
      <w:r w:rsidRPr="00B5283A">
        <w:rPr>
          <w:rFonts w:cstheme="minorHAnsi"/>
          <w:sz w:val="24"/>
          <w:szCs w:val="24"/>
        </w:rPr>
        <w:t xml:space="preserve">The Kevin P. Reilly, Sr. Louisiana Education Quality Trust Fund was established in 1986 in the state constitution by Louisiana voters to improve the quality of education in the state. In 2013, by Act 56 of the Legislature, the fund was officially renamed the Kevin P. Reilly, Sr. Louisiana Education Quality Trust Fund (LEQTF) in honor of the late former State Representative Kevin P. Reilly, Sr. of Baton Rouge, Louisiana. One of Mr. Reilly’s proudest legislative accomplishments was the creation of the trust fund, then commonly known as the 8(g) fund. Mr. Reilly sponsored the legislation to permanently dedicate the proceeds from an oil and gas royalty settlement with the federal government for the benefit of elementary, </w:t>
      </w:r>
      <w:proofErr w:type="gramStart"/>
      <w:r w:rsidRPr="00B5283A">
        <w:rPr>
          <w:rFonts w:cstheme="minorHAnsi"/>
          <w:sz w:val="24"/>
          <w:szCs w:val="24"/>
        </w:rPr>
        <w:t>secondary</w:t>
      </w:r>
      <w:proofErr w:type="gramEnd"/>
      <w:r w:rsidRPr="00B5283A">
        <w:rPr>
          <w:rFonts w:cstheme="minorHAnsi"/>
          <w:sz w:val="24"/>
          <w:szCs w:val="24"/>
        </w:rPr>
        <w:t xml:space="preserve"> and higher education. This action </w:t>
      </w:r>
      <w:proofErr w:type="gramStart"/>
      <w:r w:rsidRPr="00B5283A">
        <w:rPr>
          <w:rFonts w:cstheme="minorHAnsi"/>
          <w:sz w:val="24"/>
          <w:szCs w:val="24"/>
        </w:rPr>
        <w:t>was a reflection of</w:t>
      </w:r>
      <w:proofErr w:type="gramEnd"/>
      <w:r w:rsidRPr="00B5283A">
        <w:rPr>
          <w:rFonts w:cstheme="minorHAnsi"/>
          <w:sz w:val="24"/>
          <w:szCs w:val="24"/>
        </w:rPr>
        <w:t xml:space="preserve"> his lifelong support for education. The LEQTF receives funds through the Federal Outer Continental Shelf Lands Act and deposits them in what is known as the Permanent Fund. From this Permanent Fund, a separate Support Fund was created to receive and hold 75 percent of the earnings from investment income and royalty income and 25 percent of the earnings from net capital gains/losses. Conversely, the Permanent Fund receives and holds 25 percent of the earnings from investment income and royalty income and 75 percent of the earnings from net capital gains/losses. Annual monetary allocations are made from the Support Fund to two state agencies: </w:t>
      </w:r>
      <w:r w:rsidR="00B86DBD">
        <w:rPr>
          <w:rFonts w:cstheme="minorHAnsi"/>
          <w:sz w:val="24"/>
          <w:szCs w:val="24"/>
        </w:rPr>
        <w:t>The Louisiana State Board of Elementary and Secondary Education (</w:t>
      </w:r>
      <w:r w:rsidRPr="00B5283A">
        <w:rPr>
          <w:rFonts w:cstheme="minorHAnsi"/>
          <w:sz w:val="24"/>
          <w:szCs w:val="24"/>
        </w:rPr>
        <w:t>BESE</w:t>
      </w:r>
      <w:r w:rsidR="00B86DBD">
        <w:rPr>
          <w:rFonts w:cstheme="minorHAnsi"/>
          <w:sz w:val="24"/>
          <w:szCs w:val="24"/>
        </w:rPr>
        <w:t>)</w:t>
      </w:r>
      <w:r w:rsidRPr="00B5283A">
        <w:rPr>
          <w:rFonts w:cstheme="minorHAnsi"/>
          <w:sz w:val="24"/>
          <w:szCs w:val="24"/>
        </w:rPr>
        <w:t xml:space="preserve"> for Prekindergarten through 12th grade and </w:t>
      </w:r>
      <w:r w:rsidR="00B86DBD">
        <w:rPr>
          <w:rFonts w:cstheme="minorHAnsi"/>
          <w:sz w:val="24"/>
          <w:szCs w:val="24"/>
        </w:rPr>
        <w:t xml:space="preserve">the Louisiana Board of </w:t>
      </w:r>
      <w:r w:rsidRPr="00B5283A">
        <w:rPr>
          <w:rFonts w:cstheme="minorHAnsi"/>
          <w:sz w:val="24"/>
          <w:szCs w:val="24"/>
        </w:rPr>
        <w:t>Regents</w:t>
      </w:r>
      <w:r w:rsidR="00B86DBD">
        <w:rPr>
          <w:rFonts w:cstheme="minorHAnsi"/>
          <w:sz w:val="24"/>
          <w:szCs w:val="24"/>
        </w:rPr>
        <w:t xml:space="preserve"> (Regents)</w:t>
      </w:r>
      <w:r w:rsidRPr="00B5283A">
        <w:rPr>
          <w:rFonts w:cstheme="minorHAnsi"/>
          <w:sz w:val="24"/>
          <w:szCs w:val="24"/>
        </w:rPr>
        <w:t xml:space="preserve"> for higher education. This report documents the financial condition of the </w:t>
      </w:r>
      <w:proofErr w:type="gramStart"/>
      <w:r w:rsidRPr="00B5283A">
        <w:rPr>
          <w:rFonts w:cstheme="minorHAnsi"/>
          <w:sz w:val="24"/>
          <w:szCs w:val="24"/>
        </w:rPr>
        <w:t>LEQTF</w:t>
      </w:r>
      <w:proofErr w:type="gramEnd"/>
      <w:r w:rsidRPr="00B5283A">
        <w:rPr>
          <w:rFonts w:cstheme="minorHAnsi"/>
          <w:sz w:val="24"/>
          <w:szCs w:val="24"/>
        </w:rPr>
        <w:t xml:space="preserve"> and the activities sponsored by these two state agencies receiving allocations from the Support Fund.</w:t>
      </w:r>
    </w:p>
    <w:p w14:paraId="004D5B93" w14:textId="77777777" w:rsidR="000B75EB" w:rsidRPr="00B5283A" w:rsidRDefault="000B75EB" w:rsidP="00B5283A">
      <w:pPr>
        <w:jc w:val="both"/>
        <w:rPr>
          <w:rFonts w:cstheme="minorHAnsi"/>
          <w:sz w:val="24"/>
          <w:szCs w:val="24"/>
        </w:rPr>
      </w:pPr>
    </w:p>
    <w:p w14:paraId="32BED618" w14:textId="77777777" w:rsidR="000B75EB" w:rsidRPr="00B5283A" w:rsidRDefault="000B75EB" w:rsidP="00B5283A">
      <w:pPr>
        <w:jc w:val="both"/>
        <w:rPr>
          <w:rFonts w:cstheme="minorHAnsi"/>
          <w:bCs/>
          <w:sz w:val="26"/>
          <w:szCs w:val="26"/>
        </w:rPr>
      </w:pPr>
      <w:r w:rsidRPr="00B5283A">
        <w:rPr>
          <w:rFonts w:cstheme="minorHAnsi"/>
          <w:bCs/>
          <w:sz w:val="26"/>
          <w:szCs w:val="26"/>
        </w:rPr>
        <w:t>LEQTF Timeline</w:t>
      </w:r>
    </w:p>
    <w:p w14:paraId="5E281954" w14:textId="77777777" w:rsidR="000B75EB" w:rsidRPr="00B5283A" w:rsidRDefault="000B75EB" w:rsidP="00B5283A">
      <w:pPr>
        <w:jc w:val="both"/>
        <w:rPr>
          <w:rFonts w:cstheme="minorHAnsi"/>
          <w:b/>
          <w:bCs/>
          <w:u w:val="single"/>
        </w:rPr>
      </w:pPr>
    </w:p>
    <w:p w14:paraId="4360A619" w14:textId="77777777" w:rsidR="000B75EB" w:rsidRPr="00B5283A" w:rsidRDefault="000B75EB" w:rsidP="00B5283A">
      <w:pPr>
        <w:ind w:left="1440" w:hanging="1440"/>
        <w:jc w:val="both"/>
        <w:rPr>
          <w:rFonts w:cstheme="minorHAnsi"/>
          <w:sz w:val="24"/>
          <w:szCs w:val="24"/>
        </w:rPr>
      </w:pPr>
      <w:r w:rsidRPr="00B5283A">
        <w:rPr>
          <w:rFonts w:cstheme="minorHAnsi"/>
          <w:sz w:val="24"/>
          <w:szCs w:val="24"/>
        </w:rPr>
        <w:t>1945</w:t>
      </w:r>
      <w:r w:rsidRPr="00B5283A">
        <w:rPr>
          <w:rFonts w:cstheme="minorHAnsi"/>
          <w:sz w:val="24"/>
          <w:szCs w:val="24"/>
        </w:rPr>
        <w:tab/>
      </w:r>
    </w:p>
    <w:p w14:paraId="6DD0ED36" w14:textId="77777777" w:rsidR="000B75EB" w:rsidRPr="00B5283A" w:rsidRDefault="000B75EB" w:rsidP="00B5283A">
      <w:pPr>
        <w:numPr>
          <w:ilvl w:val="0"/>
          <w:numId w:val="1"/>
        </w:numPr>
        <w:jc w:val="both"/>
        <w:rPr>
          <w:rFonts w:cstheme="minorHAnsi"/>
          <w:sz w:val="24"/>
          <w:szCs w:val="24"/>
        </w:rPr>
      </w:pPr>
      <w:r w:rsidRPr="00B5283A">
        <w:rPr>
          <w:rFonts w:cstheme="minorHAnsi"/>
          <w:sz w:val="24"/>
          <w:szCs w:val="24"/>
        </w:rPr>
        <w:t xml:space="preserve">President Harry Truman proclaims federal control over the United States continental </w:t>
      </w:r>
      <w:proofErr w:type="gramStart"/>
      <w:r w:rsidRPr="00B5283A">
        <w:rPr>
          <w:rFonts w:cstheme="minorHAnsi"/>
          <w:sz w:val="24"/>
          <w:szCs w:val="24"/>
        </w:rPr>
        <w:t>shelf</w:t>
      </w:r>
      <w:proofErr w:type="gramEnd"/>
    </w:p>
    <w:p w14:paraId="0329328C" w14:textId="77777777" w:rsidR="000B75EB" w:rsidRPr="00B5283A" w:rsidRDefault="000B75EB" w:rsidP="00B5283A">
      <w:pPr>
        <w:numPr>
          <w:ilvl w:val="0"/>
          <w:numId w:val="1"/>
        </w:numPr>
        <w:jc w:val="both"/>
        <w:rPr>
          <w:rFonts w:cstheme="minorHAnsi"/>
          <w:sz w:val="24"/>
          <w:szCs w:val="24"/>
        </w:rPr>
      </w:pPr>
      <w:r w:rsidRPr="00B5283A">
        <w:rPr>
          <w:rFonts w:cstheme="minorHAnsi"/>
          <w:sz w:val="24"/>
          <w:szCs w:val="24"/>
        </w:rPr>
        <w:t>The mineral wealth and other states’ interests in the continental shelf spurred critical legal battles over their control and disposition that lasted until the 1980’</w:t>
      </w:r>
      <w:proofErr w:type="gramStart"/>
      <w:r w:rsidRPr="00B5283A">
        <w:rPr>
          <w:rFonts w:cstheme="minorHAnsi"/>
          <w:sz w:val="24"/>
          <w:szCs w:val="24"/>
        </w:rPr>
        <w:t>s</w:t>
      </w:r>
      <w:proofErr w:type="gramEnd"/>
    </w:p>
    <w:p w14:paraId="5E84D722" w14:textId="77777777" w:rsidR="000B75EB" w:rsidRPr="00B5283A" w:rsidRDefault="000B75EB" w:rsidP="00B5283A">
      <w:pPr>
        <w:ind w:left="1440" w:hanging="1440"/>
        <w:jc w:val="both"/>
        <w:rPr>
          <w:rFonts w:cstheme="minorHAnsi"/>
          <w:sz w:val="24"/>
          <w:szCs w:val="24"/>
        </w:rPr>
      </w:pPr>
    </w:p>
    <w:p w14:paraId="293E2EFD" w14:textId="77777777" w:rsidR="000B75EB" w:rsidRPr="00B5283A" w:rsidRDefault="000B75EB" w:rsidP="00B5283A">
      <w:pPr>
        <w:ind w:left="1440" w:hanging="1440"/>
        <w:jc w:val="both"/>
        <w:rPr>
          <w:rFonts w:cstheme="minorHAnsi"/>
          <w:sz w:val="24"/>
          <w:szCs w:val="24"/>
        </w:rPr>
      </w:pPr>
      <w:r w:rsidRPr="00B5283A">
        <w:rPr>
          <w:rFonts w:cstheme="minorHAnsi"/>
          <w:sz w:val="24"/>
          <w:szCs w:val="24"/>
        </w:rPr>
        <w:t xml:space="preserve">1953 </w:t>
      </w:r>
    </w:p>
    <w:p w14:paraId="519D5F26" w14:textId="77777777" w:rsidR="000B75EB" w:rsidRPr="00B5283A" w:rsidRDefault="000B75EB" w:rsidP="00B5283A">
      <w:pPr>
        <w:numPr>
          <w:ilvl w:val="0"/>
          <w:numId w:val="2"/>
        </w:numPr>
        <w:jc w:val="both"/>
        <w:rPr>
          <w:rFonts w:cstheme="minorHAnsi"/>
          <w:sz w:val="24"/>
          <w:szCs w:val="24"/>
        </w:rPr>
      </w:pPr>
      <w:r w:rsidRPr="00B5283A">
        <w:rPr>
          <w:rFonts w:cstheme="minorHAnsi"/>
          <w:sz w:val="24"/>
          <w:szCs w:val="24"/>
        </w:rPr>
        <w:t>Outer Continental Shelf Lands Act</w:t>
      </w:r>
    </w:p>
    <w:p w14:paraId="1D581A56" w14:textId="77777777" w:rsidR="000B75EB" w:rsidRPr="00B5283A" w:rsidRDefault="000B75EB" w:rsidP="00B5283A">
      <w:pPr>
        <w:numPr>
          <w:ilvl w:val="0"/>
          <w:numId w:val="2"/>
        </w:numPr>
        <w:jc w:val="both"/>
        <w:rPr>
          <w:rFonts w:cstheme="minorHAnsi"/>
          <w:sz w:val="24"/>
          <w:szCs w:val="24"/>
        </w:rPr>
      </w:pPr>
      <w:r w:rsidRPr="00B5283A">
        <w:rPr>
          <w:rFonts w:cstheme="minorHAnsi"/>
          <w:sz w:val="24"/>
          <w:szCs w:val="24"/>
        </w:rPr>
        <w:t xml:space="preserve">Regulates offshore oil and gas </w:t>
      </w:r>
      <w:proofErr w:type="gramStart"/>
      <w:r w:rsidRPr="00B5283A">
        <w:rPr>
          <w:rFonts w:cstheme="minorHAnsi"/>
          <w:sz w:val="24"/>
          <w:szCs w:val="24"/>
        </w:rPr>
        <w:t>leasing</w:t>
      </w:r>
      <w:proofErr w:type="gramEnd"/>
    </w:p>
    <w:p w14:paraId="57F70D70" w14:textId="77777777" w:rsidR="000B75EB" w:rsidRPr="00B5283A" w:rsidRDefault="000B75EB" w:rsidP="00B5283A">
      <w:pPr>
        <w:numPr>
          <w:ilvl w:val="0"/>
          <w:numId w:val="2"/>
        </w:numPr>
        <w:jc w:val="both"/>
        <w:rPr>
          <w:rFonts w:cstheme="minorHAnsi"/>
          <w:sz w:val="24"/>
          <w:szCs w:val="24"/>
        </w:rPr>
      </w:pPr>
      <w:r w:rsidRPr="00B5283A">
        <w:rPr>
          <w:rFonts w:cstheme="minorHAnsi"/>
          <w:sz w:val="24"/>
          <w:szCs w:val="24"/>
        </w:rPr>
        <w:t xml:space="preserve">Returns first 3 miles to </w:t>
      </w:r>
      <w:proofErr w:type="gramStart"/>
      <w:r w:rsidRPr="00B5283A">
        <w:rPr>
          <w:rFonts w:cstheme="minorHAnsi"/>
          <w:sz w:val="24"/>
          <w:szCs w:val="24"/>
        </w:rPr>
        <w:t>states</w:t>
      </w:r>
      <w:proofErr w:type="gramEnd"/>
    </w:p>
    <w:p w14:paraId="3BCB645E" w14:textId="77777777" w:rsidR="000B75EB" w:rsidRPr="00B5283A" w:rsidRDefault="000B75EB" w:rsidP="00B5283A">
      <w:pPr>
        <w:ind w:left="1440" w:hanging="1440"/>
        <w:jc w:val="both"/>
        <w:rPr>
          <w:rFonts w:cstheme="minorHAnsi"/>
          <w:sz w:val="24"/>
          <w:szCs w:val="24"/>
        </w:rPr>
      </w:pPr>
    </w:p>
    <w:p w14:paraId="04D64C75" w14:textId="77777777" w:rsidR="000B75EB" w:rsidRPr="00B5283A" w:rsidRDefault="000B75EB" w:rsidP="002B7D9B">
      <w:pPr>
        <w:tabs>
          <w:tab w:val="left" w:pos="720"/>
          <w:tab w:val="left" w:pos="1440"/>
          <w:tab w:val="left" w:pos="7740"/>
        </w:tabs>
        <w:ind w:left="1440" w:hanging="1440"/>
        <w:jc w:val="both"/>
        <w:rPr>
          <w:rFonts w:cstheme="minorHAnsi"/>
          <w:sz w:val="24"/>
          <w:szCs w:val="24"/>
        </w:rPr>
      </w:pPr>
      <w:r w:rsidRPr="00B5283A">
        <w:rPr>
          <w:rFonts w:cstheme="minorHAnsi"/>
          <w:bCs/>
          <w:sz w:val="24"/>
          <w:szCs w:val="24"/>
        </w:rPr>
        <w:t>1978</w:t>
      </w:r>
      <w:r w:rsidRPr="00B5283A">
        <w:rPr>
          <w:rFonts w:cstheme="minorHAnsi"/>
          <w:sz w:val="24"/>
          <w:szCs w:val="24"/>
        </w:rPr>
        <w:tab/>
      </w:r>
      <w:r w:rsidR="002B7D9B">
        <w:rPr>
          <w:rFonts w:cstheme="minorHAnsi"/>
          <w:sz w:val="24"/>
          <w:szCs w:val="24"/>
        </w:rPr>
        <w:tab/>
      </w:r>
      <w:r w:rsidR="002B7D9B">
        <w:rPr>
          <w:rFonts w:cstheme="minorHAnsi"/>
          <w:sz w:val="24"/>
          <w:szCs w:val="24"/>
        </w:rPr>
        <w:tab/>
      </w:r>
    </w:p>
    <w:p w14:paraId="2C3FE3F8" w14:textId="77777777" w:rsidR="000B75EB" w:rsidRPr="00B5283A" w:rsidRDefault="000B75EB" w:rsidP="00B5283A">
      <w:pPr>
        <w:numPr>
          <w:ilvl w:val="0"/>
          <w:numId w:val="3"/>
        </w:numPr>
        <w:jc w:val="both"/>
        <w:rPr>
          <w:rFonts w:cstheme="minorHAnsi"/>
          <w:sz w:val="24"/>
          <w:szCs w:val="24"/>
        </w:rPr>
      </w:pPr>
      <w:r w:rsidRPr="00B5283A">
        <w:rPr>
          <w:rFonts w:cstheme="minorHAnsi"/>
          <w:sz w:val="24"/>
          <w:szCs w:val="24"/>
        </w:rPr>
        <w:t>Congressional Amendment to Continental Shelf Act</w:t>
      </w:r>
    </w:p>
    <w:p w14:paraId="2A19752A" w14:textId="77777777" w:rsidR="000B75EB" w:rsidRPr="00B5283A" w:rsidRDefault="000B75EB" w:rsidP="00B5283A">
      <w:pPr>
        <w:numPr>
          <w:ilvl w:val="0"/>
          <w:numId w:val="3"/>
        </w:numPr>
        <w:jc w:val="both"/>
        <w:rPr>
          <w:rFonts w:cstheme="minorHAnsi"/>
          <w:sz w:val="24"/>
          <w:szCs w:val="24"/>
        </w:rPr>
      </w:pPr>
      <w:r w:rsidRPr="00B5283A">
        <w:rPr>
          <w:rFonts w:cstheme="minorHAnsi"/>
          <w:sz w:val="24"/>
          <w:szCs w:val="24"/>
        </w:rPr>
        <w:t xml:space="preserve">Granted the states fair and equal shares of mineral revenues derived from offshore tracts within 3 </w:t>
      </w:r>
      <w:proofErr w:type="gramStart"/>
      <w:r w:rsidRPr="00B5283A">
        <w:rPr>
          <w:rFonts w:cstheme="minorHAnsi"/>
          <w:sz w:val="24"/>
          <w:szCs w:val="24"/>
        </w:rPr>
        <w:t>miles</w:t>
      </w:r>
      <w:proofErr w:type="gramEnd"/>
    </w:p>
    <w:p w14:paraId="2DB09E75" w14:textId="77777777" w:rsidR="000B75EB" w:rsidRPr="00B5283A" w:rsidRDefault="000B75EB" w:rsidP="00B5283A">
      <w:pPr>
        <w:numPr>
          <w:ilvl w:val="0"/>
          <w:numId w:val="3"/>
        </w:numPr>
        <w:jc w:val="both"/>
        <w:rPr>
          <w:rFonts w:cstheme="minorHAnsi"/>
          <w:sz w:val="24"/>
          <w:szCs w:val="24"/>
        </w:rPr>
      </w:pPr>
      <w:r w:rsidRPr="00B5283A">
        <w:rPr>
          <w:rFonts w:cstheme="minorHAnsi"/>
          <w:sz w:val="24"/>
          <w:szCs w:val="24"/>
        </w:rPr>
        <w:t xml:space="preserve">Put the funds into </w:t>
      </w:r>
      <w:proofErr w:type="gramStart"/>
      <w:r w:rsidRPr="00B5283A">
        <w:rPr>
          <w:rFonts w:cstheme="minorHAnsi"/>
          <w:sz w:val="24"/>
          <w:szCs w:val="24"/>
        </w:rPr>
        <w:t>escrow</w:t>
      </w:r>
      <w:proofErr w:type="gramEnd"/>
      <w:r w:rsidRPr="00B5283A">
        <w:rPr>
          <w:rFonts w:cstheme="minorHAnsi"/>
          <w:sz w:val="24"/>
          <w:szCs w:val="24"/>
        </w:rPr>
        <w:t xml:space="preserve">    </w:t>
      </w:r>
    </w:p>
    <w:p w14:paraId="6BBBABF1" w14:textId="77777777" w:rsidR="000B75EB" w:rsidRDefault="000B75EB" w:rsidP="00B5283A">
      <w:pPr>
        <w:ind w:left="1440" w:hanging="1440"/>
        <w:jc w:val="both"/>
        <w:rPr>
          <w:rFonts w:cstheme="minorHAnsi"/>
          <w:bCs/>
          <w:sz w:val="24"/>
          <w:szCs w:val="24"/>
        </w:rPr>
      </w:pPr>
    </w:p>
    <w:p w14:paraId="05894652" w14:textId="77777777" w:rsidR="00E27A63" w:rsidRDefault="00E27A63" w:rsidP="00B5283A">
      <w:pPr>
        <w:ind w:left="1440" w:hanging="1440"/>
        <w:jc w:val="both"/>
        <w:rPr>
          <w:rFonts w:cstheme="minorHAnsi"/>
          <w:bCs/>
          <w:sz w:val="24"/>
          <w:szCs w:val="24"/>
        </w:rPr>
      </w:pPr>
    </w:p>
    <w:p w14:paraId="12A7CA95" w14:textId="77777777" w:rsidR="00E27A63" w:rsidRDefault="00E27A63" w:rsidP="00B5283A">
      <w:pPr>
        <w:ind w:left="1440" w:hanging="1440"/>
        <w:jc w:val="both"/>
        <w:rPr>
          <w:rFonts w:cstheme="minorHAnsi"/>
          <w:bCs/>
          <w:sz w:val="24"/>
          <w:szCs w:val="24"/>
        </w:rPr>
      </w:pPr>
    </w:p>
    <w:p w14:paraId="35A3EC19" w14:textId="77777777" w:rsidR="00E27A63" w:rsidRDefault="00E27A63" w:rsidP="00B5283A">
      <w:pPr>
        <w:ind w:left="1440" w:hanging="1440"/>
        <w:jc w:val="both"/>
        <w:rPr>
          <w:rFonts w:cstheme="minorHAnsi"/>
          <w:bCs/>
          <w:sz w:val="24"/>
          <w:szCs w:val="24"/>
        </w:rPr>
      </w:pPr>
    </w:p>
    <w:p w14:paraId="03ED0858" w14:textId="77777777" w:rsidR="000B75EB" w:rsidRPr="00B5283A" w:rsidRDefault="000B75EB" w:rsidP="00B5283A">
      <w:pPr>
        <w:ind w:left="1440" w:hanging="1440"/>
        <w:jc w:val="both"/>
        <w:rPr>
          <w:rFonts w:cstheme="minorHAnsi"/>
          <w:bCs/>
          <w:sz w:val="24"/>
          <w:szCs w:val="24"/>
        </w:rPr>
      </w:pPr>
      <w:r w:rsidRPr="00B5283A">
        <w:rPr>
          <w:rFonts w:cstheme="minorHAnsi"/>
          <w:bCs/>
          <w:sz w:val="24"/>
          <w:szCs w:val="24"/>
        </w:rPr>
        <w:lastRenderedPageBreak/>
        <w:t>1986</w:t>
      </w:r>
      <w:r w:rsidRPr="00B5283A">
        <w:rPr>
          <w:rFonts w:cstheme="minorHAnsi"/>
          <w:bCs/>
          <w:sz w:val="24"/>
          <w:szCs w:val="24"/>
        </w:rPr>
        <w:tab/>
      </w:r>
    </w:p>
    <w:p w14:paraId="3765D7BC" w14:textId="77777777" w:rsidR="000B75EB" w:rsidRPr="00B5283A" w:rsidRDefault="000B75EB" w:rsidP="00B5283A">
      <w:pPr>
        <w:numPr>
          <w:ilvl w:val="0"/>
          <w:numId w:val="4"/>
        </w:numPr>
        <w:jc w:val="both"/>
        <w:rPr>
          <w:rFonts w:cstheme="minorHAnsi"/>
          <w:bCs/>
          <w:sz w:val="24"/>
          <w:szCs w:val="24"/>
        </w:rPr>
      </w:pPr>
      <w:r w:rsidRPr="00B5283A">
        <w:rPr>
          <w:rFonts w:cstheme="minorHAnsi"/>
          <w:sz w:val="24"/>
          <w:szCs w:val="24"/>
        </w:rPr>
        <w:t xml:space="preserve">Congress grants coastal states their portion of the escrowed funds as well as monthly earnings on mineral </w:t>
      </w:r>
      <w:proofErr w:type="gramStart"/>
      <w:r w:rsidRPr="00B5283A">
        <w:rPr>
          <w:rFonts w:cstheme="minorHAnsi"/>
          <w:sz w:val="24"/>
          <w:szCs w:val="24"/>
        </w:rPr>
        <w:t>leases</w:t>
      </w:r>
      <w:proofErr w:type="gramEnd"/>
      <w:r w:rsidRPr="00B5283A">
        <w:rPr>
          <w:rFonts w:cstheme="minorHAnsi"/>
          <w:sz w:val="24"/>
          <w:szCs w:val="24"/>
        </w:rPr>
        <w:t xml:space="preserve">  </w:t>
      </w:r>
    </w:p>
    <w:p w14:paraId="591210E0" w14:textId="77777777" w:rsidR="000B75EB" w:rsidRPr="00B5283A" w:rsidRDefault="000B75EB" w:rsidP="00B5283A">
      <w:pPr>
        <w:numPr>
          <w:ilvl w:val="0"/>
          <w:numId w:val="4"/>
        </w:numPr>
        <w:jc w:val="both"/>
        <w:rPr>
          <w:rFonts w:cstheme="minorHAnsi"/>
          <w:bCs/>
          <w:sz w:val="24"/>
          <w:szCs w:val="24"/>
        </w:rPr>
      </w:pPr>
      <w:r w:rsidRPr="00B5283A">
        <w:rPr>
          <w:rFonts w:cstheme="minorHAnsi"/>
          <w:sz w:val="24"/>
          <w:szCs w:val="24"/>
        </w:rPr>
        <w:t xml:space="preserve">Louisiana passes Constitutional Amendment </w:t>
      </w:r>
      <w:r w:rsidRPr="00B5283A">
        <w:rPr>
          <w:rFonts w:cstheme="minorHAnsi"/>
          <w:bCs/>
          <w:sz w:val="24"/>
          <w:szCs w:val="24"/>
        </w:rPr>
        <w:t xml:space="preserve">establishing the </w:t>
      </w:r>
      <w:proofErr w:type="gramStart"/>
      <w:r w:rsidRPr="00B5283A">
        <w:rPr>
          <w:rFonts w:cstheme="minorHAnsi"/>
          <w:bCs/>
          <w:sz w:val="24"/>
          <w:szCs w:val="24"/>
        </w:rPr>
        <w:t>LEQTF</w:t>
      </w:r>
      <w:proofErr w:type="gramEnd"/>
    </w:p>
    <w:p w14:paraId="251E4974" w14:textId="77777777" w:rsidR="000B75EB" w:rsidRPr="00B5283A" w:rsidRDefault="000B75EB" w:rsidP="00B5283A">
      <w:pPr>
        <w:ind w:left="1440" w:hanging="1440"/>
        <w:jc w:val="both"/>
        <w:rPr>
          <w:rFonts w:cstheme="minorHAnsi"/>
          <w:sz w:val="24"/>
          <w:szCs w:val="24"/>
        </w:rPr>
      </w:pPr>
    </w:p>
    <w:p w14:paraId="15F4A615" w14:textId="77777777" w:rsidR="000B75EB" w:rsidRPr="00B5283A" w:rsidRDefault="000B75EB" w:rsidP="00B5283A">
      <w:pPr>
        <w:jc w:val="both"/>
        <w:rPr>
          <w:rFonts w:cstheme="minorHAnsi"/>
          <w:sz w:val="24"/>
          <w:szCs w:val="24"/>
        </w:rPr>
      </w:pPr>
      <w:r w:rsidRPr="00B5283A">
        <w:rPr>
          <w:rFonts w:cstheme="minorHAnsi"/>
          <w:sz w:val="24"/>
          <w:szCs w:val="24"/>
        </w:rPr>
        <w:t>1987</w:t>
      </w:r>
    </w:p>
    <w:p w14:paraId="65943D48" w14:textId="77777777" w:rsidR="000B75EB" w:rsidRPr="00B5283A" w:rsidRDefault="000B75EB" w:rsidP="00B5283A">
      <w:pPr>
        <w:numPr>
          <w:ilvl w:val="0"/>
          <w:numId w:val="5"/>
        </w:numPr>
        <w:jc w:val="both"/>
        <w:rPr>
          <w:rFonts w:cstheme="minorHAnsi"/>
          <w:sz w:val="24"/>
          <w:szCs w:val="24"/>
        </w:rPr>
      </w:pPr>
      <w:r w:rsidRPr="00B5283A">
        <w:rPr>
          <w:rFonts w:cstheme="minorHAnsi"/>
          <w:sz w:val="24"/>
          <w:szCs w:val="24"/>
        </w:rPr>
        <w:t xml:space="preserve">$540.7 </w:t>
      </w:r>
      <w:r w:rsidR="00B86DBD">
        <w:rPr>
          <w:rFonts w:cstheme="minorHAnsi"/>
          <w:sz w:val="24"/>
          <w:szCs w:val="24"/>
        </w:rPr>
        <w:t>M</w:t>
      </w:r>
      <w:r w:rsidRPr="00B5283A">
        <w:rPr>
          <w:rFonts w:cstheme="minorHAnsi"/>
          <w:sz w:val="24"/>
          <w:szCs w:val="24"/>
        </w:rPr>
        <w:t xml:space="preserve">illion goes into the </w:t>
      </w:r>
      <w:proofErr w:type="gramStart"/>
      <w:r w:rsidRPr="00B5283A">
        <w:rPr>
          <w:rFonts w:cstheme="minorHAnsi"/>
          <w:sz w:val="24"/>
          <w:szCs w:val="24"/>
        </w:rPr>
        <w:t>LEQTF</w:t>
      </w:r>
      <w:proofErr w:type="gramEnd"/>
      <w:r w:rsidRPr="00B5283A">
        <w:rPr>
          <w:rFonts w:cstheme="minorHAnsi"/>
          <w:sz w:val="24"/>
          <w:szCs w:val="24"/>
        </w:rPr>
        <w:t xml:space="preserve">  </w:t>
      </w:r>
    </w:p>
    <w:p w14:paraId="02FFE234" w14:textId="77777777" w:rsidR="000B75EB" w:rsidRPr="00B5283A" w:rsidRDefault="000B75EB" w:rsidP="00B5283A">
      <w:pPr>
        <w:numPr>
          <w:ilvl w:val="0"/>
          <w:numId w:val="5"/>
        </w:numPr>
        <w:jc w:val="both"/>
        <w:rPr>
          <w:rFonts w:cstheme="minorHAnsi"/>
          <w:sz w:val="24"/>
          <w:szCs w:val="24"/>
        </w:rPr>
      </w:pPr>
      <w:r w:rsidRPr="00B5283A">
        <w:rPr>
          <w:rFonts w:cstheme="minorHAnsi"/>
          <w:sz w:val="24"/>
          <w:szCs w:val="24"/>
        </w:rPr>
        <w:t xml:space="preserve">Interest earnings on the fund are available for </w:t>
      </w:r>
      <w:proofErr w:type="gramStart"/>
      <w:r w:rsidRPr="00B5283A">
        <w:rPr>
          <w:rFonts w:cstheme="minorHAnsi"/>
          <w:sz w:val="24"/>
          <w:szCs w:val="24"/>
        </w:rPr>
        <w:t>use</w:t>
      </w:r>
      <w:proofErr w:type="gramEnd"/>
    </w:p>
    <w:p w14:paraId="2D959FB6" w14:textId="77777777" w:rsidR="000B75EB" w:rsidRPr="00B5283A" w:rsidRDefault="000B75EB" w:rsidP="00B5283A">
      <w:pPr>
        <w:ind w:left="1440" w:hanging="1440"/>
        <w:jc w:val="both"/>
        <w:rPr>
          <w:rFonts w:cstheme="minorHAnsi"/>
          <w:sz w:val="24"/>
          <w:szCs w:val="24"/>
        </w:rPr>
      </w:pPr>
    </w:p>
    <w:p w14:paraId="601CD326" w14:textId="77777777" w:rsidR="000B75EB" w:rsidRPr="00B5283A" w:rsidRDefault="000B75EB" w:rsidP="00B5283A">
      <w:pPr>
        <w:ind w:left="1440" w:hanging="1440"/>
        <w:jc w:val="both"/>
        <w:rPr>
          <w:rFonts w:cstheme="minorHAnsi"/>
          <w:bCs/>
          <w:sz w:val="24"/>
          <w:szCs w:val="24"/>
        </w:rPr>
      </w:pPr>
      <w:r w:rsidRPr="00B5283A">
        <w:rPr>
          <w:rFonts w:cstheme="minorHAnsi"/>
          <w:bCs/>
          <w:sz w:val="24"/>
          <w:szCs w:val="24"/>
        </w:rPr>
        <w:t>1994</w:t>
      </w:r>
      <w:r w:rsidRPr="00B5283A">
        <w:rPr>
          <w:rFonts w:cstheme="minorHAnsi"/>
          <w:bCs/>
          <w:sz w:val="24"/>
          <w:szCs w:val="24"/>
        </w:rPr>
        <w:tab/>
      </w:r>
    </w:p>
    <w:p w14:paraId="4CDD34F7" w14:textId="77777777" w:rsidR="000B75EB" w:rsidRPr="00B5283A" w:rsidRDefault="000B75EB" w:rsidP="00706F0E">
      <w:pPr>
        <w:numPr>
          <w:ilvl w:val="0"/>
          <w:numId w:val="6"/>
        </w:numPr>
        <w:ind w:left="720"/>
        <w:jc w:val="both"/>
        <w:rPr>
          <w:rFonts w:cstheme="minorHAnsi"/>
          <w:sz w:val="24"/>
          <w:szCs w:val="24"/>
        </w:rPr>
      </w:pPr>
      <w:r w:rsidRPr="00B5283A">
        <w:rPr>
          <w:rFonts w:cstheme="minorHAnsi"/>
          <w:sz w:val="24"/>
          <w:szCs w:val="24"/>
        </w:rPr>
        <w:t xml:space="preserve">Constitutional amendment allows the State Treasurer to invest up to 35 percent of LEQTF assets in the stock </w:t>
      </w:r>
      <w:proofErr w:type="gramStart"/>
      <w:r w:rsidRPr="00B5283A">
        <w:rPr>
          <w:rFonts w:cstheme="minorHAnsi"/>
          <w:sz w:val="24"/>
          <w:szCs w:val="24"/>
        </w:rPr>
        <w:t>market</w:t>
      </w:r>
      <w:proofErr w:type="gramEnd"/>
    </w:p>
    <w:p w14:paraId="5D45D19A" w14:textId="77777777" w:rsidR="000B75EB" w:rsidRPr="00B5283A" w:rsidRDefault="000B75EB" w:rsidP="00706F0E">
      <w:pPr>
        <w:ind w:left="720" w:hanging="1440"/>
        <w:jc w:val="both"/>
        <w:rPr>
          <w:rFonts w:cstheme="minorHAnsi"/>
          <w:sz w:val="24"/>
          <w:szCs w:val="24"/>
        </w:rPr>
      </w:pPr>
    </w:p>
    <w:p w14:paraId="5A86F409" w14:textId="77777777" w:rsidR="000B75EB" w:rsidRPr="00B5283A" w:rsidRDefault="000B75EB" w:rsidP="00706F0E">
      <w:pPr>
        <w:ind w:left="720" w:hanging="720"/>
        <w:jc w:val="both"/>
        <w:rPr>
          <w:rFonts w:cstheme="minorHAnsi"/>
          <w:bCs/>
          <w:sz w:val="24"/>
          <w:szCs w:val="24"/>
        </w:rPr>
      </w:pPr>
      <w:r w:rsidRPr="00B5283A">
        <w:rPr>
          <w:rFonts w:cstheme="minorHAnsi"/>
          <w:bCs/>
          <w:sz w:val="24"/>
          <w:szCs w:val="24"/>
        </w:rPr>
        <w:t>2004</w:t>
      </w:r>
      <w:r w:rsidRPr="00B5283A">
        <w:rPr>
          <w:rFonts w:cstheme="minorHAnsi"/>
          <w:bCs/>
          <w:sz w:val="24"/>
          <w:szCs w:val="24"/>
        </w:rPr>
        <w:tab/>
      </w:r>
      <w:r w:rsidRPr="00B5283A">
        <w:rPr>
          <w:rFonts w:cstheme="minorHAnsi"/>
          <w:bCs/>
          <w:sz w:val="24"/>
          <w:szCs w:val="24"/>
        </w:rPr>
        <w:tab/>
      </w:r>
    </w:p>
    <w:p w14:paraId="064CD71D" w14:textId="77777777" w:rsidR="000B75EB" w:rsidRPr="00B5283A" w:rsidRDefault="000B75EB" w:rsidP="00706F0E">
      <w:pPr>
        <w:numPr>
          <w:ilvl w:val="0"/>
          <w:numId w:val="6"/>
        </w:numPr>
        <w:ind w:left="720"/>
        <w:jc w:val="both"/>
        <w:rPr>
          <w:rFonts w:cstheme="minorHAnsi"/>
          <w:sz w:val="24"/>
          <w:szCs w:val="24"/>
        </w:rPr>
      </w:pPr>
      <w:r w:rsidRPr="00B5283A">
        <w:rPr>
          <w:rFonts w:cstheme="minorHAnsi"/>
          <w:sz w:val="24"/>
          <w:szCs w:val="24"/>
        </w:rPr>
        <w:t>L</w:t>
      </w:r>
      <w:r w:rsidR="002C17ED">
        <w:rPr>
          <w:rFonts w:cstheme="minorHAnsi"/>
          <w:sz w:val="24"/>
          <w:szCs w:val="24"/>
        </w:rPr>
        <w:t xml:space="preserve">EQTF investments top $1 </w:t>
      </w:r>
      <w:proofErr w:type="gramStart"/>
      <w:r w:rsidR="002C17ED">
        <w:rPr>
          <w:rFonts w:cstheme="minorHAnsi"/>
          <w:sz w:val="24"/>
          <w:szCs w:val="24"/>
        </w:rPr>
        <w:t>Billion</w:t>
      </w:r>
      <w:proofErr w:type="gramEnd"/>
    </w:p>
    <w:p w14:paraId="4CE51ED8" w14:textId="77777777" w:rsidR="000B75EB" w:rsidRPr="00B5283A" w:rsidRDefault="000B75EB" w:rsidP="00706F0E">
      <w:pPr>
        <w:ind w:left="720"/>
        <w:jc w:val="both"/>
        <w:rPr>
          <w:rFonts w:cstheme="minorHAnsi"/>
          <w:sz w:val="24"/>
          <w:szCs w:val="24"/>
        </w:rPr>
      </w:pPr>
    </w:p>
    <w:p w14:paraId="0CDD1DDD" w14:textId="77777777" w:rsidR="000B75EB" w:rsidRPr="00B5283A" w:rsidRDefault="000B75EB" w:rsidP="00706F0E">
      <w:pPr>
        <w:jc w:val="both"/>
        <w:rPr>
          <w:rFonts w:cstheme="minorHAnsi"/>
          <w:sz w:val="24"/>
          <w:szCs w:val="24"/>
        </w:rPr>
      </w:pPr>
      <w:r w:rsidRPr="00B5283A">
        <w:rPr>
          <w:rFonts w:cstheme="minorHAnsi"/>
          <w:sz w:val="24"/>
          <w:szCs w:val="24"/>
        </w:rPr>
        <w:t>2005</w:t>
      </w:r>
    </w:p>
    <w:p w14:paraId="19CF4F26" w14:textId="77777777" w:rsidR="000B75EB" w:rsidRPr="00B5283A" w:rsidRDefault="000B75EB" w:rsidP="00706F0E">
      <w:pPr>
        <w:numPr>
          <w:ilvl w:val="0"/>
          <w:numId w:val="6"/>
        </w:numPr>
        <w:ind w:left="720"/>
        <w:jc w:val="both"/>
        <w:rPr>
          <w:rFonts w:cstheme="minorHAnsi"/>
          <w:sz w:val="24"/>
          <w:szCs w:val="24"/>
        </w:rPr>
      </w:pPr>
      <w:r w:rsidRPr="00B5283A">
        <w:rPr>
          <w:rFonts w:cstheme="minorHAnsi"/>
          <w:sz w:val="24"/>
          <w:szCs w:val="24"/>
        </w:rPr>
        <w:t xml:space="preserve">Total allocations to BESE &amp; Regents exceed $1 </w:t>
      </w:r>
      <w:proofErr w:type="gramStart"/>
      <w:r w:rsidRPr="00B5283A">
        <w:rPr>
          <w:rFonts w:cstheme="minorHAnsi"/>
          <w:sz w:val="24"/>
          <w:szCs w:val="24"/>
        </w:rPr>
        <w:t>Billion</w:t>
      </w:r>
      <w:proofErr w:type="gramEnd"/>
    </w:p>
    <w:p w14:paraId="411C308F" w14:textId="77777777" w:rsidR="000B75EB" w:rsidRPr="00B5283A" w:rsidRDefault="000B75EB" w:rsidP="00706F0E">
      <w:pPr>
        <w:ind w:left="720"/>
        <w:jc w:val="both"/>
        <w:rPr>
          <w:rFonts w:cstheme="minorHAnsi"/>
          <w:sz w:val="24"/>
          <w:szCs w:val="24"/>
        </w:rPr>
      </w:pPr>
    </w:p>
    <w:p w14:paraId="717FA9EC" w14:textId="4C4D1AA8" w:rsidR="000B75EB" w:rsidRPr="00B5283A" w:rsidRDefault="00ED54EB" w:rsidP="00706F0E">
      <w:pPr>
        <w:jc w:val="both"/>
        <w:rPr>
          <w:rFonts w:cstheme="minorHAnsi"/>
          <w:sz w:val="24"/>
          <w:szCs w:val="24"/>
        </w:rPr>
      </w:pPr>
      <w:r w:rsidRPr="00B5283A">
        <w:rPr>
          <w:rFonts w:cstheme="minorHAnsi"/>
          <w:sz w:val="24"/>
          <w:szCs w:val="24"/>
        </w:rPr>
        <w:t>20</w:t>
      </w:r>
      <w:r>
        <w:rPr>
          <w:rFonts w:cstheme="minorHAnsi"/>
          <w:sz w:val="24"/>
          <w:szCs w:val="24"/>
        </w:rPr>
        <w:t>2</w:t>
      </w:r>
      <w:r w:rsidR="00052058">
        <w:rPr>
          <w:rFonts w:cstheme="minorHAnsi"/>
          <w:sz w:val="24"/>
          <w:szCs w:val="24"/>
        </w:rPr>
        <w:t>3</w:t>
      </w:r>
    </w:p>
    <w:p w14:paraId="49A6C9FB" w14:textId="45047E44" w:rsidR="000B75EB" w:rsidRPr="00B5283A" w:rsidRDefault="000B75EB" w:rsidP="001357A8">
      <w:pPr>
        <w:numPr>
          <w:ilvl w:val="0"/>
          <w:numId w:val="6"/>
        </w:numPr>
        <w:ind w:left="720"/>
        <w:jc w:val="both"/>
        <w:rPr>
          <w:rFonts w:cstheme="minorHAnsi"/>
          <w:sz w:val="24"/>
          <w:szCs w:val="24"/>
        </w:rPr>
      </w:pPr>
      <w:r w:rsidRPr="00B5283A">
        <w:rPr>
          <w:rFonts w:cstheme="minorHAnsi"/>
          <w:sz w:val="24"/>
          <w:szCs w:val="24"/>
        </w:rPr>
        <w:t xml:space="preserve">LEQTF investments </w:t>
      </w:r>
      <w:r w:rsidR="00B5283A">
        <w:rPr>
          <w:rFonts w:cstheme="minorHAnsi"/>
          <w:sz w:val="24"/>
          <w:szCs w:val="24"/>
        </w:rPr>
        <w:t xml:space="preserve">market value reaches </w:t>
      </w:r>
      <w:r w:rsidRPr="00B5283A">
        <w:rPr>
          <w:rFonts w:cstheme="minorHAnsi"/>
          <w:sz w:val="24"/>
          <w:szCs w:val="24"/>
        </w:rPr>
        <w:t>$</w:t>
      </w:r>
      <w:r w:rsidR="00ED54EB" w:rsidRPr="00ED54EB">
        <w:rPr>
          <w:rFonts w:cstheme="minorHAnsi"/>
          <w:sz w:val="24"/>
          <w:szCs w:val="24"/>
        </w:rPr>
        <w:t>1</w:t>
      </w:r>
      <w:r w:rsidR="00ED54EB">
        <w:rPr>
          <w:rFonts w:cstheme="minorHAnsi"/>
          <w:sz w:val="24"/>
          <w:szCs w:val="24"/>
        </w:rPr>
        <w:t>.</w:t>
      </w:r>
      <w:r w:rsidR="00AE7DE0">
        <w:rPr>
          <w:rFonts w:cstheme="minorHAnsi"/>
          <w:sz w:val="24"/>
          <w:szCs w:val="24"/>
        </w:rPr>
        <w:t>5</w:t>
      </w:r>
      <w:r w:rsidR="00052058">
        <w:rPr>
          <w:rFonts w:cstheme="minorHAnsi"/>
          <w:sz w:val="24"/>
          <w:szCs w:val="24"/>
        </w:rPr>
        <w:t>69</w:t>
      </w:r>
      <w:r w:rsidR="00F0790C">
        <w:rPr>
          <w:rFonts w:cstheme="minorHAnsi"/>
          <w:sz w:val="24"/>
          <w:szCs w:val="24"/>
        </w:rPr>
        <w:t xml:space="preserve"> </w:t>
      </w:r>
      <w:proofErr w:type="gramStart"/>
      <w:r w:rsidRPr="00B5283A">
        <w:rPr>
          <w:rFonts w:cstheme="minorHAnsi"/>
          <w:sz w:val="24"/>
          <w:szCs w:val="24"/>
        </w:rPr>
        <w:t>Billion</w:t>
      </w:r>
      <w:proofErr w:type="gramEnd"/>
    </w:p>
    <w:p w14:paraId="1E9F76C8" w14:textId="2EF55E8E" w:rsidR="000B75EB" w:rsidRPr="00B5283A" w:rsidRDefault="000B75EB" w:rsidP="00706F0E">
      <w:pPr>
        <w:numPr>
          <w:ilvl w:val="0"/>
          <w:numId w:val="6"/>
        </w:numPr>
        <w:ind w:left="720"/>
        <w:jc w:val="both"/>
        <w:rPr>
          <w:rFonts w:cstheme="minorHAnsi"/>
          <w:sz w:val="24"/>
          <w:szCs w:val="24"/>
        </w:rPr>
      </w:pPr>
      <w:r w:rsidRPr="00B5283A">
        <w:rPr>
          <w:rFonts w:cstheme="minorHAnsi"/>
          <w:sz w:val="24"/>
          <w:szCs w:val="24"/>
        </w:rPr>
        <w:t>Total allocations to BESE &amp; Regents</w:t>
      </w:r>
      <w:r w:rsidR="003378C1">
        <w:rPr>
          <w:rFonts w:cstheme="minorHAnsi"/>
          <w:sz w:val="24"/>
          <w:szCs w:val="24"/>
        </w:rPr>
        <w:t xml:space="preserve"> through the Support Fund</w:t>
      </w:r>
      <w:r w:rsidR="00B5283A">
        <w:rPr>
          <w:rFonts w:cstheme="minorHAnsi"/>
          <w:sz w:val="24"/>
          <w:szCs w:val="24"/>
        </w:rPr>
        <w:t xml:space="preserve"> exceed</w:t>
      </w:r>
      <w:r w:rsidR="003378C1">
        <w:rPr>
          <w:rFonts w:cstheme="minorHAnsi"/>
          <w:sz w:val="24"/>
          <w:szCs w:val="24"/>
        </w:rPr>
        <w:t>s</w:t>
      </w:r>
      <w:r w:rsidRPr="00B5283A">
        <w:rPr>
          <w:rFonts w:cstheme="minorHAnsi"/>
          <w:sz w:val="24"/>
          <w:szCs w:val="24"/>
        </w:rPr>
        <w:t xml:space="preserve"> $</w:t>
      </w:r>
      <w:r w:rsidR="00ED54EB">
        <w:rPr>
          <w:rFonts w:cstheme="minorHAnsi"/>
          <w:sz w:val="24"/>
          <w:szCs w:val="24"/>
        </w:rPr>
        <w:t>1.</w:t>
      </w:r>
      <w:r w:rsidR="00FF15C7">
        <w:rPr>
          <w:rFonts w:cstheme="minorHAnsi"/>
          <w:sz w:val="24"/>
          <w:szCs w:val="24"/>
        </w:rPr>
        <w:t>907</w:t>
      </w:r>
      <w:r w:rsidR="0001449C">
        <w:rPr>
          <w:rFonts w:cstheme="minorHAnsi"/>
          <w:sz w:val="24"/>
          <w:szCs w:val="24"/>
        </w:rPr>
        <w:t xml:space="preserve"> </w:t>
      </w:r>
      <w:proofErr w:type="gramStart"/>
      <w:r w:rsidRPr="00B5283A">
        <w:rPr>
          <w:rFonts w:cstheme="minorHAnsi"/>
          <w:sz w:val="24"/>
          <w:szCs w:val="24"/>
        </w:rPr>
        <w:t>Billion</w:t>
      </w:r>
      <w:proofErr w:type="gramEnd"/>
    </w:p>
    <w:p w14:paraId="669C8CE7" w14:textId="77777777" w:rsidR="009A5734" w:rsidRPr="0049081D" w:rsidRDefault="009A5734" w:rsidP="00B5283A">
      <w:pPr>
        <w:jc w:val="both"/>
        <w:rPr>
          <w:rFonts w:cstheme="minorHAnsi"/>
          <w:sz w:val="24"/>
          <w:szCs w:val="24"/>
        </w:rPr>
      </w:pPr>
    </w:p>
    <w:p w14:paraId="1ED6673E" w14:textId="77777777" w:rsidR="00FA7700" w:rsidRPr="00FA7700" w:rsidRDefault="00FA7700" w:rsidP="00FA7700">
      <w:pPr>
        <w:jc w:val="both"/>
        <w:rPr>
          <w:rFonts w:cstheme="minorHAnsi"/>
          <w:sz w:val="36"/>
          <w:szCs w:val="36"/>
        </w:rPr>
      </w:pPr>
      <w:r w:rsidRPr="00FA7700">
        <w:rPr>
          <w:rFonts w:cstheme="minorHAnsi"/>
          <w:sz w:val="36"/>
          <w:szCs w:val="36"/>
        </w:rPr>
        <w:t>Annual and Cumulative Allocations</w:t>
      </w:r>
    </w:p>
    <w:p w14:paraId="22436987" w14:textId="77777777" w:rsidR="00FA7700" w:rsidRPr="0049081D" w:rsidRDefault="00FA7700" w:rsidP="00FA7700">
      <w:pPr>
        <w:jc w:val="both"/>
        <w:rPr>
          <w:rFonts w:cstheme="minorHAnsi"/>
          <w:sz w:val="24"/>
          <w:szCs w:val="24"/>
        </w:rPr>
      </w:pPr>
    </w:p>
    <w:p w14:paraId="0F3415C5" w14:textId="1F49A803" w:rsidR="00FA7700" w:rsidRPr="0049081D" w:rsidRDefault="00FA7700" w:rsidP="00FA7700">
      <w:pPr>
        <w:jc w:val="both"/>
        <w:rPr>
          <w:rFonts w:cstheme="minorHAnsi"/>
          <w:sz w:val="24"/>
          <w:szCs w:val="24"/>
        </w:rPr>
      </w:pPr>
      <w:r w:rsidRPr="0049081D">
        <w:rPr>
          <w:rFonts w:cstheme="minorHAnsi"/>
          <w:sz w:val="24"/>
          <w:szCs w:val="24"/>
        </w:rPr>
        <w:t xml:space="preserve">The Treasury invests the LEQTF in </w:t>
      </w:r>
      <w:r w:rsidR="00117536">
        <w:rPr>
          <w:rFonts w:cstheme="minorHAnsi"/>
          <w:sz w:val="24"/>
          <w:szCs w:val="24"/>
        </w:rPr>
        <w:t>a manner</w:t>
      </w:r>
      <w:r w:rsidR="00117536" w:rsidRPr="0049081D">
        <w:rPr>
          <w:rFonts w:cstheme="minorHAnsi"/>
          <w:sz w:val="24"/>
          <w:szCs w:val="24"/>
        </w:rPr>
        <w:t xml:space="preserve"> </w:t>
      </w:r>
      <w:r w:rsidRPr="0049081D">
        <w:rPr>
          <w:rFonts w:cstheme="minorHAnsi"/>
          <w:sz w:val="24"/>
          <w:szCs w:val="24"/>
        </w:rPr>
        <w:t>t</w:t>
      </w:r>
      <w:r w:rsidR="00117536">
        <w:rPr>
          <w:rFonts w:cstheme="minorHAnsi"/>
          <w:sz w:val="24"/>
          <w:szCs w:val="24"/>
        </w:rPr>
        <w:t>hat</w:t>
      </w:r>
      <w:r w:rsidRPr="0049081D">
        <w:rPr>
          <w:rFonts w:cstheme="minorHAnsi"/>
          <w:sz w:val="24"/>
          <w:szCs w:val="24"/>
        </w:rPr>
        <w:t xml:space="preserve"> preserve</w:t>
      </w:r>
      <w:r w:rsidR="00117536">
        <w:rPr>
          <w:rFonts w:cstheme="minorHAnsi"/>
          <w:sz w:val="24"/>
          <w:szCs w:val="24"/>
        </w:rPr>
        <w:t>s</w:t>
      </w:r>
      <w:r w:rsidRPr="0049081D">
        <w:rPr>
          <w:rFonts w:cstheme="minorHAnsi"/>
          <w:sz w:val="24"/>
          <w:szCs w:val="24"/>
        </w:rPr>
        <w:t xml:space="preserve"> the fund’s capital, enhance</w:t>
      </w:r>
      <w:r w:rsidR="00117536">
        <w:rPr>
          <w:rFonts w:cstheme="minorHAnsi"/>
          <w:sz w:val="24"/>
          <w:szCs w:val="24"/>
        </w:rPr>
        <w:t>s</w:t>
      </w:r>
      <w:r w:rsidRPr="0049081D">
        <w:rPr>
          <w:rFonts w:cstheme="minorHAnsi"/>
          <w:sz w:val="24"/>
          <w:szCs w:val="24"/>
        </w:rPr>
        <w:t xml:space="preserve"> its market </w:t>
      </w:r>
      <w:proofErr w:type="gramStart"/>
      <w:r w:rsidRPr="0049081D">
        <w:rPr>
          <w:rFonts w:cstheme="minorHAnsi"/>
          <w:sz w:val="24"/>
          <w:szCs w:val="24"/>
        </w:rPr>
        <w:t>value</w:t>
      </w:r>
      <w:proofErr w:type="gramEnd"/>
      <w:r w:rsidRPr="0049081D">
        <w:rPr>
          <w:rFonts w:cstheme="minorHAnsi"/>
          <w:sz w:val="24"/>
          <w:szCs w:val="24"/>
        </w:rPr>
        <w:t xml:space="preserve"> and provide</w:t>
      </w:r>
      <w:r w:rsidR="00117536">
        <w:rPr>
          <w:rFonts w:cstheme="minorHAnsi"/>
          <w:sz w:val="24"/>
          <w:szCs w:val="24"/>
        </w:rPr>
        <w:t>s</w:t>
      </w:r>
      <w:r w:rsidRPr="0049081D">
        <w:rPr>
          <w:rFonts w:cstheme="minorHAnsi"/>
          <w:sz w:val="24"/>
          <w:szCs w:val="24"/>
        </w:rPr>
        <w:t xml:space="preserve"> a stable and predictable income.  The Treasury’s guiding principle for LEQTF investments is to maximize taxpayers’ benefits for years to come.</w:t>
      </w:r>
    </w:p>
    <w:p w14:paraId="5C33E31B" w14:textId="77777777" w:rsidR="00FA7700" w:rsidRPr="0049081D" w:rsidRDefault="00FA7700" w:rsidP="00FA7700">
      <w:pPr>
        <w:jc w:val="both"/>
        <w:rPr>
          <w:rFonts w:cstheme="minorHAnsi"/>
          <w:sz w:val="24"/>
          <w:szCs w:val="24"/>
        </w:rPr>
      </w:pPr>
    </w:p>
    <w:p w14:paraId="4D9C7A05" w14:textId="77777777" w:rsidR="00FA7700" w:rsidRPr="0049081D" w:rsidRDefault="00FA7700" w:rsidP="00FA7700">
      <w:pPr>
        <w:jc w:val="both"/>
        <w:rPr>
          <w:rFonts w:cstheme="minorHAnsi"/>
          <w:sz w:val="24"/>
          <w:szCs w:val="24"/>
        </w:rPr>
      </w:pPr>
      <w:r w:rsidRPr="0049081D">
        <w:rPr>
          <w:rFonts w:cstheme="minorHAnsi"/>
          <w:sz w:val="24"/>
          <w:szCs w:val="24"/>
        </w:rPr>
        <w:t>After first allocating earnings pursuant to Act 698 of the 2001 Regular Louisiana Legislative Session, net earnings are then split 50/50 between BESE and Regents.  However, differing appropriations and expenditures may cause slight variations in allocation balances between the two agencies from year to year.</w:t>
      </w:r>
    </w:p>
    <w:p w14:paraId="0701EB49" w14:textId="77777777" w:rsidR="00FA7700" w:rsidRPr="0049081D" w:rsidRDefault="00FA7700" w:rsidP="00FA7700">
      <w:pPr>
        <w:jc w:val="both"/>
        <w:rPr>
          <w:rFonts w:cstheme="minorHAnsi"/>
          <w:sz w:val="24"/>
          <w:szCs w:val="24"/>
        </w:rPr>
      </w:pPr>
    </w:p>
    <w:p w14:paraId="6FABFE59" w14:textId="1EB843CB" w:rsidR="00FA7700" w:rsidRPr="0049081D" w:rsidRDefault="00FA7700" w:rsidP="00FA7700">
      <w:pPr>
        <w:jc w:val="both"/>
        <w:rPr>
          <w:rFonts w:cstheme="minorHAnsi"/>
          <w:sz w:val="24"/>
          <w:szCs w:val="24"/>
        </w:rPr>
      </w:pPr>
      <w:r w:rsidRPr="0049081D">
        <w:rPr>
          <w:rFonts w:cstheme="minorHAnsi"/>
          <w:sz w:val="24"/>
          <w:szCs w:val="24"/>
        </w:rPr>
        <w:t>The LEQTF allocated $</w:t>
      </w:r>
      <w:r w:rsidR="00AE7DE0">
        <w:rPr>
          <w:rFonts w:cstheme="minorHAnsi"/>
          <w:sz w:val="24"/>
          <w:szCs w:val="24"/>
        </w:rPr>
        <w:t>1</w:t>
      </w:r>
      <w:r w:rsidR="00FF15C7">
        <w:rPr>
          <w:rFonts w:cstheme="minorHAnsi"/>
          <w:sz w:val="24"/>
          <w:szCs w:val="24"/>
        </w:rPr>
        <w:t>5.63</w:t>
      </w:r>
      <w:r w:rsidR="009763D4" w:rsidRPr="0049081D">
        <w:rPr>
          <w:rFonts w:cstheme="minorHAnsi"/>
          <w:sz w:val="24"/>
          <w:szCs w:val="24"/>
        </w:rPr>
        <w:t xml:space="preserve"> </w:t>
      </w:r>
      <w:r w:rsidR="00B86DBD">
        <w:rPr>
          <w:rFonts w:cstheme="minorHAnsi"/>
          <w:sz w:val="24"/>
          <w:szCs w:val="24"/>
        </w:rPr>
        <w:t>M</w:t>
      </w:r>
      <w:r w:rsidRPr="0049081D">
        <w:rPr>
          <w:rFonts w:cstheme="minorHAnsi"/>
          <w:sz w:val="24"/>
          <w:szCs w:val="24"/>
        </w:rPr>
        <w:t>illion to Regents</w:t>
      </w:r>
      <w:r w:rsidR="00E602F7" w:rsidRPr="0049081D">
        <w:rPr>
          <w:rFonts w:cstheme="minorHAnsi"/>
          <w:sz w:val="24"/>
          <w:szCs w:val="24"/>
        </w:rPr>
        <w:t xml:space="preserve"> and </w:t>
      </w:r>
      <w:r w:rsidR="00DB3F6C" w:rsidRPr="0049081D">
        <w:rPr>
          <w:rFonts w:cstheme="minorHAnsi"/>
          <w:sz w:val="24"/>
          <w:szCs w:val="24"/>
        </w:rPr>
        <w:t>$</w:t>
      </w:r>
      <w:r w:rsidR="009B6513">
        <w:rPr>
          <w:rFonts w:cstheme="minorHAnsi"/>
          <w:sz w:val="24"/>
          <w:szCs w:val="24"/>
        </w:rPr>
        <w:t>1</w:t>
      </w:r>
      <w:r w:rsidR="00FF15C7">
        <w:rPr>
          <w:rFonts w:cstheme="minorHAnsi"/>
          <w:sz w:val="24"/>
          <w:szCs w:val="24"/>
        </w:rPr>
        <w:t>5.54</w:t>
      </w:r>
      <w:r w:rsidR="009763D4" w:rsidRPr="0049081D">
        <w:rPr>
          <w:rFonts w:cstheme="minorHAnsi"/>
          <w:sz w:val="24"/>
          <w:szCs w:val="24"/>
        </w:rPr>
        <w:t xml:space="preserve"> </w:t>
      </w:r>
      <w:r w:rsidR="00B86DBD">
        <w:rPr>
          <w:rFonts w:cstheme="minorHAnsi"/>
          <w:sz w:val="24"/>
          <w:szCs w:val="24"/>
        </w:rPr>
        <w:t>M</w:t>
      </w:r>
      <w:r w:rsidR="00DB3F6C" w:rsidRPr="0049081D">
        <w:rPr>
          <w:rFonts w:cstheme="minorHAnsi"/>
          <w:sz w:val="24"/>
          <w:szCs w:val="24"/>
        </w:rPr>
        <w:t>illion to BESE</w:t>
      </w:r>
      <w:r w:rsidRPr="0049081D">
        <w:rPr>
          <w:rFonts w:cstheme="minorHAnsi"/>
          <w:sz w:val="24"/>
          <w:szCs w:val="24"/>
        </w:rPr>
        <w:t xml:space="preserve"> for Fiscal Year </w:t>
      </w:r>
      <w:r w:rsidR="008D3B48" w:rsidRPr="0049081D">
        <w:rPr>
          <w:rFonts w:cstheme="minorHAnsi"/>
          <w:sz w:val="24"/>
          <w:szCs w:val="24"/>
        </w:rPr>
        <w:t>20</w:t>
      </w:r>
      <w:r w:rsidR="00D65DDC">
        <w:rPr>
          <w:rFonts w:cstheme="minorHAnsi"/>
          <w:sz w:val="24"/>
          <w:szCs w:val="24"/>
        </w:rPr>
        <w:t>2</w:t>
      </w:r>
      <w:r w:rsidR="00FF15C7">
        <w:rPr>
          <w:rFonts w:cstheme="minorHAnsi"/>
          <w:sz w:val="24"/>
          <w:szCs w:val="24"/>
        </w:rPr>
        <w:t>2</w:t>
      </w:r>
      <w:r w:rsidR="00F7722A" w:rsidRPr="0049081D">
        <w:rPr>
          <w:rFonts w:cstheme="minorHAnsi"/>
          <w:sz w:val="24"/>
          <w:szCs w:val="24"/>
        </w:rPr>
        <w:t>-</w:t>
      </w:r>
      <w:r w:rsidR="008D3B48" w:rsidRPr="0049081D">
        <w:rPr>
          <w:rFonts w:cstheme="minorHAnsi"/>
          <w:sz w:val="24"/>
          <w:szCs w:val="24"/>
        </w:rPr>
        <w:t>20</w:t>
      </w:r>
      <w:r w:rsidR="008D3B48">
        <w:rPr>
          <w:rFonts w:cstheme="minorHAnsi"/>
          <w:sz w:val="24"/>
          <w:szCs w:val="24"/>
        </w:rPr>
        <w:t>2</w:t>
      </w:r>
      <w:r w:rsidR="00FF15C7">
        <w:rPr>
          <w:rFonts w:cstheme="minorHAnsi"/>
          <w:sz w:val="24"/>
          <w:szCs w:val="24"/>
        </w:rPr>
        <w:t>3</w:t>
      </w:r>
      <w:r w:rsidR="008D3B48" w:rsidRPr="0049081D">
        <w:rPr>
          <w:rFonts w:cstheme="minorHAnsi"/>
          <w:sz w:val="24"/>
          <w:szCs w:val="24"/>
        </w:rPr>
        <w:t xml:space="preserve"> </w:t>
      </w:r>
      <w:r w:rsidRPr="0049081D">
        <w:rPr>
          <w:rFonts w:cstheme="minorHAnsi"/>
          <w:sz w:val="24"/>
          <w:szCs w:val="24"/>
        </w:rPr>
        <w:t>(</w:t>
      </w:r>
      <w:r w:rsidR="008D3B48">
        <w:rPr>
          <w:rFonts w:cstheme="minorHAnsi"/>
          <w:sz w:val="24"/>
          <w:szCs w:val="24"/>
        </w:rPr>
        <w:t>FY 202</w:t>
      </w:r>
      <w:r w:rsidR="00FF15C7">
        <w:rPr>
          <w:rFonts w:cstheme="minorHAnsi"/>
          <w:sz w:val="24"/>
          <w:szCs w:val="24"/>
        </w:rPr>
        <w:t>3</w:t>
      </w:r>
      <w:r w:rsidRPr="0049081D">
        <w:rPr>
          <w:rFonts w:cstheme="minorHAnsi"/>
          <w:sz w:val="24"/>
          <w:szCs w:val="24"/>
        </w:rPr>
        <w:t>).  Over the life of the LEQTF, it has allocated a total of $</w:t>
      </w:r>
      <w:r w:rsidR="00B41903">
        <w:rPr>
          <w:rFonts w:cstheme="minorHAnsi"/>
          <w:sz w:val="24"/>
          <w:szCs w:val="24"/>
        </w:rPr>
        <w:t>1</w:t>
      </w:r>
      <w:r w:rsidR="00920940">
        <w:rPr>
          <w:rFonts w:cstheme="minorHAnsi"/>
          <w:sz w:val="24"/>
          <w:szCs w:val="24"/>
        </w:rPr>
        <w:t>.</w:t>
      </w:r>
      <w:r w:rsidR="00FF15C7">
        <w:rPr>
          <w:rFonts w:cstheme="minorHAnsi"/>
          <w:sz w:val="24"/>
          <w:szCs w:val="24"/>
        </w:rPr>
        <w:t>907</w:t>
      </w:r>
      <w:r w:rsidR="009763D4" w:rsidRPr="0049081D">
        <w:rPr>
          <w:rFonts w:cstheme="minorHAnsi"/>
          <w:sz w:val="24"/>
          <w:szCs w:val="24"/>
        </w:rPr>
        <w:t xml:space="preserve"> </w:t>
      </w:r>
      <w:r w:rsidR="006D1E36">
        <w:rPr>
          <w:rFonts w:cstheme="minorHAnsi"/>
          <w:sz w:val="24"/>
          <w:szCs w:val="24"/>
        </w:rPr>
        <w:t>Billion</w:t>
      </w:r>
      <w:r w:rsidRPr="0049081D">
        <w:rPr>
          <w:rFonts w:cstheme="minorHAnsi"/>
          <w:sz w:val="24"/>
          <w:szCs w:val="24"/>
        </w:rPr>
        <w:t xml:space="preserve"> to these two agencies, making it a stable source of revenue for a variety of educational enhancements and opportunities for Louisiana students at every level of education.</w:t>
      </w:r>
    </w:p>
    <w:p w14:paraId="34498A54" w14:textId="0CEFE8D0" w:rsidR="00905E0F" w:rsidRDefault="00905E0F">
      <w:pPr>
        <w:rPr>
          <w:rFonts w:cstheme="minorHAnsi"/>
          <w:sz w:val="24"/>
          <w:szCs w:val="24"/>
        </w:rPr>
      </w:pPr>
      <w:r>
        <w:rPr>
          <w:rFonts w:cstheme="minorHAnsi"/>
          <w:sz w:val="24"/>
          <w:szCs w:val="24"/>
        </w:rPr>
        <w:br w:type="page"/>
      </w:r>
    </w:p>
    <w:p w14:paraId="06921603" w14:textId="77777777" w:rsidR="005A2334" w:rsidRDefault="005A2334" w:rsidP="005A2334">
      <w:pPr>
        <w:jc w:val="both"/>
        <w:rPr>
          <w:rFonts w:cstheme="minorHAnsi"/>
          <w:b/>
          <w:sz w:val="32"/>
          <w:szCs w:val="32"/>
        </w:rPr>
      </w:pPr>
      <w:r w:rsidRPr="00EC5F60">
        <w:rPr>
          <w:rFonts w:cstheme="minorHAnsi"/>
          <w:b/>
          <w:sz w:val="32"/>
          <w:szCs w:val="32"/>
        </w:rPr>
        <w:lastRenderedPageBreak/>
        <w:t>Annual Allocations to BESE and Regents</w:t>
      </w:r>
    </w:p>
    <w:p w14:paraId="19665CDA" w14:textId="237D9B2E" w:rsidR="00BC04ED" w:rsidRDefault="00BC04ED" w:rsidP="005A2334">
      <w:pPr>
        <w:jc w:val="both"/>
        <w:rPr>
          <w:rFonts w:cstheme="minorHAnsi"/>
          <w:b/>
          <w:sz w:val="32"/>
          <w:szCs w:val="32"/>
        </w:rPr>
      </w:pPr>
      <w:r>
        <w:rPr>
          <w:noProof/>
        </w:rPr>
        <w:drawing>
          <wp:inline distT="0" distB="0" distL="0" distR="0" wp14:anchorId="24B6F25A" wp14:editId="54066F26">
            <wp:extent cx="5943600" cy="3691255"/>
            <wp:effectExtent l="0" t="0" r="0" b="4445"/>
            <wp:docPr id="1409877126" name="Chart 1">
              <a:extLst xmlns:a="http://schemas.openxmlformats.org/drawingml/2006/main">
                <a:ext uri="{FF2B5EF4-FFF2-40B4-BE49-F238E27FC236}">
                  <a16:creationId xmlns:a16="http://schemas.microsoft.com/office/drawing/2014/main"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FD0A7C7" w14:textId="16FB1B7F" w:rsidR="00072109" w:rsidRDefault="00072109" w:rsidP="005A2334">
      <w:pPr>
        <w:jc w:val="both"/>
        <w:rPr>
          <w:rFonts w:cstheme="minorHAnsi"/>
          <w:b/>
          <w:sz w:val="32"/>
          <w:szCs w:val="32"/>
        </w:rPr>
      </w:pPr>
    </w:p>
    <w:p w14:paraId="4982F992" w14:textId="77777777" w:rsidR="005A2334" w:rsidRDefault="005A2334" w:rsidP="005A2334">
      <w:pPr>
        <w:jc w:val="both"/>
        <w:rPr>
          <w:rFonts w:cstheme="minorHAnsi"/>
          <w:b/>
          <w:sz w:val="32"/>
          <w:szCs w:val="32"/>
        </w:rPr>
      </w:pPr>
      <w:r w:rsidRPr="00EC5F60">
        <w:rPr>
          <w:rFonts w:cstheme="minorHAnsi"/>
          <w:b/>
          <w:sz w:val="32"/>
          <w:szCs w:val="32"/>
        </w:rPr>
        <w:t>Cumulative Allocations to BESE and Regents</w:t>
      </w:r>
    </w:p>
    <w:p w14:paraId="3D65C95C" w14:textId="45FBE3CB" w:rsidR="00BC04ED" w:rsidRDefault="00BC04ED" w:rsidP="005A2334">
      <w:pPr>
        <w:jc w:val="both"/>
        <w:rPr>
          <w:rFonts w:cstheme="minorHAnsi"/>
          <w:b/>
          <w:sz w:val="32"/>
          <w:szCs w:val="32"/>
        </w:rPr>
      </w:pPr>
      <w:r>
        <w:rPr>
          <w:noProof/>
        </w:rPr>
        <w:drawing>
          <wp:inline distT="0" distB="0" distL="0" distR="0" wp14:anchorId="6B5EC952" wp14:editId="607A6F23">
            <wp:extent cx="5943600" cy="3333750"/>
            <wp:effectExtent l="0" t="0" r="0" b="0"/>
            <wp:docPr id="1402936327" name="Chart 1">
              <a:extLst xmlns:a="http://schemas.openxmlformats.org/drawingml/2006/main">
                <a:ext uri="{FF2B5EF4-FFF2-40B4-BE49-F238E27FC236}">
                  <a16:creationId xmlns:a16="http://schemas.microsoft.com/office/drawing/2014/main" id="{7683BD80-D015-9382-5EDC-9BF243423C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9A3BC91" w14:textId="77777777" w:rsidR="009E1CDA" w:rsidRDefault="009E1CDA" w:rsidP="00FA7700">
      <w:pPr>
        <w:jc w:val="both"/>
        <w:rPr>
          <w:rFonts w:cstheme="minorHAnsi"/>
          <w:sz w:val="24"/>
          <w:szCs w:val="24"/>
        </w:rPr>
      </w:pPr>
    </w:p>
    <w:p w14:paraId="4EDCADB6" w14:textId="2B835D6C" w:rsidR="00FA7700" w:rsidRPr="0049081D" w:rsidRDefault="00FA7700" w:rsidP="00FA7700">
      <w:pPr>
        <w:jc w:val="both"/>
        <w:rPr>
          <w:rFonts w:cstheme="minorHAnsi"/>
          <w:sz w:val="24"/>
          <w:szCs w:val="24"/>
        </w:rPr>
      </w:pPr>
      <w:r w:rsidRPr="00FA7700">
        <w:rPr>
          <w:rFonts w:cstheme="minorHAnsi"/>
          <w:sz w:val="24"/>
          <w:szCs w:val="24"/>
        </w:rPr>
        <w:lastRenderedPageBreak/>
        <w:t>Within BESE, this fund is known as the 8(g) fund, and within Regents it is called the Board of Regents Support Fund (</w:t>
      </w:r>
      <w:proofErr w:type="spellStart"/>
      <w:r w:rsidRPr="00FA7700">
        <w:rPr>
          <w:rFonts w:cstheme="minorHAnsi"/>
          <w:sz w:val="24"/>
          <w:szCs w:val="24"/>
        </w:rPr>
        <w:t>BoRSF</w:t>
      </w:r>
      <w:proofErr w:type="spellEnd"/>
      <w:r w:rsidRPr="00FA7700">
        <w:rPr>
          <w:rFonts w:cstheme="minorHAnsi"/>
          <w:sz w:val="24"/>
          <w:szCs w:val="24"/>
        </w:rPr>
        <w:t xml:space="preserve">).  Please note that it is normal for the allocation amounts reported here for BESE and Regents to vary slightly from the total award amounts reported by those two </w:t>
      </w:r>
      <w:r w:rsidRPr="0049081D">
        <w:rPr>
          <w:rFonts w:cstheme="minorHAnsi"/>
          <w:sz w:val="24"/>
          <w:szCs w:val="24"/>
        </w:rPr>
        <w:t>agencies in their respective sections of this report.</w:t>
      </w:r>
    </w:p>
    <w:p w14:paraId="0301040D" w14:textId="77777777" w:rsidR="00FA7700" w:rsidRPr="0049081D" w:rsidRDefault="00FA7700" w:rsidP="00FA7700">
      <w:pPr>
        <w:jc w:val="both"/>
        <w:rPr>
          <w:rFonts w:cstheme="minorHAnsi"/>
          <w:sz w:val="24"/>
          <w:szCs w:val="24"/>
        </w:rPr>
      </w:pPr>
    </w:p>
    <w:p w14:paraId="59050D89" w14:textId="77777777" w:rsidR="00FA7700" w:rsidRPr="00FA7700" w:rsidRDefault="00FA7700" w:rsidP="00FA7700">
      <w:pPr>
        <w:jc w:val="both"/>
        <w:rPr>
          <w:rFonts w:cstheme="minorHAnsi"/>
          <w:sz w:val="36"/>
          <w:szCs w:val="36"/>
        </w:rPr>
      </w:pPr>
      <w:r w:rsidRPr="00FA7700">
        <w:rPr>
          <w:rFonts w:cstheme="minorHAnsi"/>
          <w:sz w:val="36"/>
          <w:szCs w:val="36"/>
        </w:rPr>
        <w:t>Investment Results &amp; LEQTF Income</w:t>
      </w:r>
    </w:p>
    <w:p w14:paraId="31E51E0F" w14:textId="77777777" w:rsidR="00FA7700" w:rsidRPr="00FA7700" w:rsidRDefault="00FA7700" w:rsidP="00FA7700">
      <w:pPr>
        <w:jc w:val="both"/>
        <w:rPr>
          <w:rFonts w:cstheme="minorHAnsi"/>
          <w:sz w:val="24"/>
          <w:szCs w:val="24"/>
        </w:rPr>
      </w:pPr>
    </w:p>
    <w:p w14:paraId="3DBEF566" w14:textId="1AC9AC98" w:rsidR="00FA7700" w:rsidRPr="00FA7700" w:rsidRDefault="00FA7700" w:rsidP="00FA7700">
      <w:pPr>
        <w:jc w:val="both"/>
        <w:rPr>
          <w:rFonts w:cstheme="minorHAnsi"/>
          <w:sz w:val="24"/>
          <w:szCs w:val="24"/>
        </w:rPr>
      </w:pPr>
      <w:r w:rsidRPr="00FA7700">
        <w:rPr>
          <w:rFonts w:cstheme="minorHAnsi"/>
          <w:sz w:val="24"/>
          <w:szCs w:val="24"/>
        </w:rPr>
        <w:t>There are three major sources of income for the LEQTF:  Investments, Capital Gains/</w:t>
      </w:r>
      <w:proofErr w:type="gramStart"/>
      <w:r w:rsidRPr="00FA7700">
        <w:rPr>
          <w:rFonts w:cstheme="minorHAnsi"/>
          <w:sz w:val="24"/>
          <w:szCs w:val="24"/>
        </w:rPr>
        <w:t>Losses</w:t>
      </w:r>
      <w:proofErr w:type="gramEnd"/>
      <w:r w:rsidRPr="00FA7700">
        <w:rPr>
          <w:rFonts w:cstheme="minorHAnsi"/>
          <w:sz w:val="24"/>
          <w:szCs w:val="24"/>
        </w:rPr>
        <w:t xml:space="preserve"> and Royalties.  For </w:t>
      </w:r>
      <w:r w:rsidR="008D3B48">
        <w:rPr>
          <w:rFonts w:cstheme="minorHAnsi"/>
          <w:sz w:val="24"/>
          <w:szCs w:val="24"/>
        </w:rPr>
        <w:t>FY 202</w:t>
      </w:r>
      <w:r w:rsidR="00FF15C7">
        <w:rPr>
          <w:rFonts w:cstheme="minorHAnsi"/>
          <w:sz w:val="24"/>
          <w:szCs w:val="24"/>
        </w:rPr>
        <w:t>3</w:t>
      </w:r>
      <w:r w:rsidRPr="00FA7700">
        <w:rPr>
          <w:rFonts w:cstheme="minorHAnsi"/>
          <w:sz w:val="24"/>
          <w:szCs w:val="24"/>
        </w:rPr>
        <w:t>, the LEQTF earned a total of $</w:t>
      </w:r>
      <w:r w:rsidR="00FF15C7">
        <w:rPr>
          <w:rFonts w:cstheme="minorHAnsi"/>
          <w:sz w:val="24"/>
          <w:szCs w:val="24"/>
        </w:rPr>
        <w:t>43.03</w:t>
      </w:r>
      <w:r w:rsidRPr="00FA7700">
        <w:rPr>
          <w:rFonts w:cstheme="minorHAnsi"/>
          <w:sz w:val="24"/>
          <w:szCs w:val="24"/>
        </w:rPr>
        <w:t xml:space="preserve"> </w:t>
      </w:r>
      <w:r w:rsidR="0072616B">
        <w:rPr>
          <w:rFonts w:cstheme="minorHAnsi"/>
          <w:sz w:val="24"/>
          <w:szCs w:val="24"/>
        </w:rPr>
        <w:t>Million</w:t>
      </w:r>
      <w:r w:rsidRPr="00FA7700">
        <w:rPr>
          <w:rFonts w:cstheme="minorHAnsi"/>
          <w:sz w:val="24"/>
          <w:szCs w:val="24"/>
        </w:rPr>
        <w:t xml:space="preserve"> in income from all sources, </w:t>
      </w:r>
      <w:r w:rsidR="000A0A55">
        <w:rPr>
          <w:rFonts w:cstheme="minorHAnsi"/>
          <w:sz w:val="24"/>
          <w:szCs w:val="24"/>
        </w:rPr>
        <w:t>including</w:t>
      </w:r>
      <w:r w:rsidRPr="00FA7700">
        <w:rPr>
          <w:rFonts w:cstheme="minorHAnsi"/>
          <w:sz w:val="24"/>
          <w:szCs w:val="24"/>
        </w:rPr>
        <w:t xml:space="preserve"> interest, dividends, securities lending, capital gains/losses and royalty income.  For </w:t>
      </w:r>
      <w:r w:rsidR="008D3B48">
        <w:rPr>
          <w:rFonts w:cstheme="minorHAnsi"/>
          <w:sz w:val="24"/>
          <w:szCs w:val="24"/>
        </w:rPr>
        <w:t>FY 202</w:t>
      </w:r>
      <w:r w:rsidR="00FF15C7">
        <w:rPr>
          <w:rFonts w:cstheme="minorHAnsi"/>
          <w:sz w:val="24"/>
          <w:szCs w:val="24"/>
        </w:rPr>
        <w:t>3</w:t>
      </w:r>
      <w:r w:rsidR="00776BD0">
        <w:rPr>
          <w:rFonts w:cstheme="minorHAnsi"/>
          <w:sz w:val="24"/>
          <w:szCs w:val="24"/>
        </w:rPr>
        <w:t>,</w:t>
      </w:r>
      <w:r w:rsidRPr="00FA7700">
        <w:rPr>
          <w:rFonts w:cstheme="minorHAnsi"/>
          <w:sz w:val="24"/>
          <w:szCs w:val="24"/>
        </w:rPr>
        <w:t xml:space="preserve"> the total income from all investment sources (interest, dividends, securities </w:t>
      </w:r>
      <w:proofErr w:type="gramStart"/>
      <w:r w:rsidRPr="00FA7700">
        <w:rPr>
          <w:rFonts w:cstheme="minorHAnsi"/>
          <w:sz w:val="24"/>
          <w:szCs w:val="24"/>
        </w:rPr>
        <w:t>lending</w:t>
      </w:r>
      <w:proofErr w:type="gramEnd"/>
      <w:r w:rsidRPr="00FA7700">
        <w:rPr>
          <w:rFonts w:cstheme="minorHAnsi"/>
          <w:sz w:val="24"/>
          <w:szCs w:val="24"/>
        </w:rPr>
        <w:t xml:space="preserve"> and capital gains/losses</w:t>
      </w:r>
      <w:r w:rsidR="00133B36">
        <w:rPr>
          <w:rFonts w:cstheme="minorHAnsi"/>
          <w:sz w:val="24"/>
          <w:szCs w:val="24"/>
        </w:rPr>
        <w:t>, excluding royalties</w:t>
      </w:r>
      <w:r w:rsidRPr="00FA7700">
        <w:rPr>
          <w:rFonts w:cstheme="minorHAnsi"/>
          <w:sz w:val="24"/>
          <w:szCs w:val="24"/>
        </w:rPr>
        <w:t>) was $</w:t>
      </w:r>
      <w:r w:rsidR="00FF15C7">
        <w:rPr>
          <w:rFonts w:cstheme="minorHAnsi"/>
          <w:sz w:val="24"/>
          <w:szCs w:val="24"/>
        </w:rPr>
        <w:t>38.56</w:t>
      </w:r>
      <w:r w:rsidR="00CF6DE7">
        <w:rPr>
          <w:rFonts w:cstheme="minorHAnsi"/>
          <w:sz w:val="24"/>
          <w:szCs w:val="24"/>
        </w:rPr>
        <w:t xml:space="preserve"> </w:t>
      </w:r>
      <w:r w:rsidR="0072616B">
        <w:rPr>
          <w:rFonts w:cstheme="minorHAnsi"/>
          <w:sz w:val="24"/>
          <w:szCs w:val="24"/>
        </w:rPr>
        <w:t>Million</w:t>
      </w:r>
      <w:r w:rsidRPr="00FA7700">
        <w:rPr>
          <w:rFonts w:cstheme="minorHAnsi"/>
          <w:sz w:val="24"/>
          <w:szCs w:val="24"/>
        </w:rPr>
        <w:t>.</w:t>
      </w:r>
    </w:p>
    <w:p w14:paraId="61D91CA0" w14:textId="77777777" w:rsidR="00FA7700" w:rsidRPr="00FA7700" w:rsidRDefault="00FA7700" w:rsidP="00FA7700">
      <w:pPr>
        <w:jc w:val="both"/>
        <w:rPr>
          <w:rFonts w:cstheme="minorHAnsi"/>
          <w:sz w:val="24"/>
          <w:szCs w:val="24"/>
        </w:rPr>
      </w:pPr>
    </w:p>
    <w:p w14:paraId="612C0668" w14:textId="7E2F9D2A" w:rsidR="00FA7700" w:rsidRPr="00FA7700" w:rsidRDefault="00FA7700" w:rsidP="00FA7700">
      <w:pPr>
        <w:jc w:val="both"/>
        <w:rPr>
          <w:rFonts w:cstheme="minorHAnsi"/>
          <w:sz w:val="24"/>
          <w:szCs w:val="24"/>
        </w:rPr>
      </w:pPr>
      <w:r w:rsidRPr="00FA7700">
        <w:rPr>
          <w:rFonts w:cstheme="minorHAnsi"/>
          <w:sz w:val="24"/>
          <w:szCs w:val="24"/>
        </w:rPr>
        <w:t xml:space="preserve">As stated earlier, 75 percent of these earnings </w:t>
      </w:r>
      <w:r w:rsidR="000A0A55">
        <w:rPr>
          <w:rFonts w:cstheme="minorHAnsi"/>
          <w:sz w:val="24"/>
          <w:szCs w:val="24"/>
        </w:rPr>
        <w:t>are</w:t>
      </w:r>
      <w:r w:rsidR="000A0A55" w:rsidRPr="00FA7700">
        <w:rPr>
          <w:rFonts w:cstheme="minorHAnsi"/>
          <w:sz w:val="24"/>
          <w:szCs w:val="24"/>
        </w:rPr>
        <w:t xml:space="preserve"> </w:t>
      </w:r>
      <w:r w:rsidRPr="00FA7700">
        <w:rPr>
          <w:rFonts w:cstheme="minorHAnsi"/>
          <w:sz w:val="24"/>
          <w:szCs w:val="24"/>
        </w:rPr>
        <w:t xml:space="preserve">credited to the Support Fund and 25 percent </w:t>
      </w:r>
      <w:r w:rsidR="000A0A55">
        <w:rPr>
          <w:rFonts w:cstheme="minorHAnsi"/>
          <w:sz w:val="24"/>
          <w:szCs w:val="24"/>
        </w:rPr>
        <w:t>are</w:t>
      </w:r>
      <w:r w:rsidR="005E59A1">
        <w:rPr>
          <w:rFonts w:cstheme="minorHAnsi"/>
          <w:sz w:val="24"/>
          <w:szCs w:val="24"/>
        </w:rPr>
        <w:t xml:space="preserve"> </w:t>
      </w:r>
      <w:r w:rsidRPr="00FA7700">
        <w:rPr>
          <w:rFonts w:cstheme="minorHAnsi"/>
          <w:sz w:val="24"/>
          <w:szCs w:val="24"/>
        </w:rPr>
        <w:t>reinvested in the Permanent Fund.  Investment income from interest, dividends</w:t>
      </w:r>
      <w:r w:rsidR="000A0A55">
        <w:rPr>
          <w:rFonts w:cstheme="minorHAnsi"/>
          <w:sz w:val="24"/>
          <w:szCs w:val="24"/>
        </w:rPr>
        <w:t>,</w:t>
      </w:r>
      <w:r w:rsidRPr="00FA7700">
        <w:rPr>
          <w:rFonts w:cstheme="minorHAnsi"/>
          <w:sz w:val="24"/>
          <w:szCs w:val="24"/>
        </w:rPr>
        <w:t xml:space="preserve"> and securities lending allocated to the Support Fund totaled $</w:t>
      </w:r>
      <w:r w:rsidR="009B6513">
        <w:rPr>
          <w:rFonts w:cstheme="minorHAnsi"/>
          <w:sz w:val="24"/>
          <w:szCs w:val="24"/>
        </w:rPr>
        <w:t>2</w:t>
      </w:r>
      <w:r w:rsidR="00FF15C7">
        <w:rPr>
          <w:rFonts w:cstheme="minorHAnsi"/>
          <w:sz w:val="24"/>
          <w:szCs w:val="24"/>
        </w:rPr>
        <w:t>7.82</w:t>
      </w:r>
      <w:r w:rsidRPr="00FA7700">
        <w:rPr>
          <w:rFonts w:cstheme="minorHAnsi"/>
          <w:sz w:val="24"/>
          <w:szCs w:val="24"/>
        </w:rPr>
        <w:t xml:space="preserve"> </w:t>
      </w:r>
      <w:r w:rsidR="0072616B">
        <w:rPr>
          <w:rFonts w:cstheme="minorHAnsi"/>
          <w:sz w:val="24"/>
          <w:szCs w:val="24"/>
        </w:rPr>
        <w:t>Million</w:t>
      </w:r>
      <w:r w:rsidRPr="00FA7700">
        <w:rPr>
          <w:rFonts w:cstheme="minorHAnsi"/>
          <w:sz w:val="24"/>
          <w:szCs w:val="24"/>
        </w:rPr>
        <w:t>, while investment income allocated to the Permanent Fund totaled $</w:t>
      </w:r>
      <w:r w:rsidR="00FF15C7">
        <w:rPr>
          <w:rFonts w:cstheme="minorHAnsi"/>
          <w:sz w:val="24"/>
          <w:szCs w:val="24"/>
        </w:rPr>
        <w:t>10.74</w:t>
      </w:r>
      <w:r w:rsidR="008D3B48">
        <w:rPr>
          <w:rFonts w:cstheme="minorHAnsi"/>
          <w:sz w:val="24"/>
          <w:szCs w:val="24"/>
        </w:rPr>
        <w:t xml:space="preserve"> </w:t>
      </w:r>
      <w:r w:rsidR="0072616B">
        <w:rPr>
          <w:rFonts w:cstheme="minorHAnsi"/>
          <w:sz w:val="24"/>
          <w:szCs w:val="24"/>
        </w:rPr>
        <w:t>Million</w:t>
      </w:r>
      <w:r w:rsidRPr="00FA7700">
        <w:rPr>
          <w:rFonts w:cstheme="minorHAnsi"/>
          <w:sz w:val="24"/>
          <w:szCs w:val="24"/>
        </w:rPr>
        <w:t xml:space="preserve">. </w:t>
      </w:r>
    </w:p>
    <w:p w14:paraId="70FEAD47" w14:textId="77777777" w:rsidR="00FA7700" w:rsidRPr="00FA7700" w:rsidRDefault="00FA7700" w:rsidP="00FA7700">
      <w:pPr>
        <w:jc w:val="both"/>
        <w:rPr>
          <w:rFonts w:cstheme="minorHAnsi"/>
          <w:sz w:val="24"/>
          <w:szCs w:val="24"/>
        </w:rPr>
      </w:pPr>
    </w:p>
    <w:p w14:paraId="754A7367" w14:textId="2C209E18" w:rsidR="00FA7700" w:rsidRPr="00FA7700" w:rsidRDefault="00FA7700" w:rsidP="00FA7700">
      <w:pPr>
        <w:jc w:val="both"/>
        <w:rPr>
          <w:rFonts w:cstheme="minorHAnsi"/>
          <w:sz w:val="24"/>
          <w:szCs w:val="24"/>
        </w:rPr>
      </w:pPr>
      <w:r w:rsidRPr="00FA7700">
        <w:rPr>
          <w:rFonts w:cstheme="minorHAnsi"/>
          <w:sz w:val="24"/>
          <w:szCs w:val="24"/>
        </w:rPr>
        <w:t>Interest Income:  The LEQTF holds a variety of fixed-income investments, including U.S. Treasury and Agency securities</w:t>
      </w:r>
      <w:r w:rsidR="000A0A55">
        <w:rPr>
          <w:rFonts w:cstheme="minorHAnsi"/>
          <w:sz w:val="24"/>
          <w:szCs w:val="24"/>
        </w:rPr>
        <w:t>,</w:t>
      </w:r>
      <w:r w:rsidRPr="00FA7700">
        <w:rPr>
          <w:rFonts w:cstheme="minorHAnsi"/>
          <w:sz w:val="24"/>
          <w:szCs w:val="24"/>
        </w:rPr>
        <w:t xml:space="preserve"> as well as other investment-grade bonds.  LEQTF earnings from coupon interest for </w:t>
      </w:r>
      <w:r w:rsidR="008D3B48">
        <w:rPr>
          <w:rFonts w:cstheme="minorHAnsi"/>
          <w:sz w:val="24"/>
          <w:szCs w:val="24"/>
        </w:rPr>
        <w:t>FY 202</w:t>
      </w:r>
      <w:r w:rsidR="00FF15C7">
        <w:rPr>
          <w:rFonts w:cstheme="minorHAnsi"/>
          <w:sz w:val="24"/>
          <w:szCs w:val="24"/>
        </w:rPr>
        <w:t>3</w:t>
      </w:r>
      <w:r w:rsidRPr="00FA7700">
        <w:rPr>
          <w:rFonts w:cstheme="minorHAnsi"/>
          <w:sz w:val="24"/>
          <w:szCs w:val="24"/>
        </w:rPr>
        <w:t xml:space="preserve"> totaled $</w:t>
      </w:r>
      <w:r w:rsidR="00FF15C7">
        <w:rPr>
          <w:rFonts w:cstheme="minorHAnsi"/>
          <w:sz w:val="24"/>
          <w:szCs w:val="24"/>
        </w:rPr>
        <w:t>21.18</w:t>
      </w:r>
      <w:r w:rsidRPr="00FA7700">
        <w:rPr>
          <w:rFonts w:cstheme="minorHAnsi"/>
          <w:sz w:val="24"/>
          <w:szCs w:val="24"/>
        </w:rPr>
        <w:t xml:space="preserve"> </w:t>
      </w:r>
      <w:r w:rsidR="0072616B">
        <w:rPr>
          <w:rFonts w:cstheme="minorHAnsi"/>
          <w:sz w:val="24"/>
          <w:szCs w:val="24"/>
        </w:rPr>
        <w:t>Million</w:t>
      </w:r>
      <w:r w:rsidRPr="00FA7700">
        <w:rPr>
          <w:rFonts w:cstheme="minorHAnsi"/>
          <w:sz w:val="24"/>
          <w:szCs w:val="24"/>
        </w:rPr>
        <w:t>.</w:t>
      </w:r>
    </w:p>
    <w:p w14:paraId="443A24F0" w14:textId="77777777" w:rsidR="00FA7700" w:rsidRPr="00FA7700" w:rsidRDefault="00FA7700" w:rsidP="00FA7700">
      <w:pPr>
        <w:jc w:val="both"/>
        <w:rPr>
          <w:rFonts w:cstheme="minorHAnsi"/>
          <w:sz w:val="24"/>
          <w:szCs w:val="24"/>
        </w:rPr>
      </w:pPr>
    </w:p>
    <w:p w14:paraId="05A7E209" w14:textId="66B1B128" w:rsidR="00FA7700" w:rsidRPr="00FA7700" w:rsidRDefault="00FA7700" w:rsidP="00FA7700">
      <w:pPr>
        <w:jc w:val="both"/>
        <w:rPr>
          <w:rFonts w:cstheme="minorHAnsi"/>
          <w:sz w:val="24"/>
          <w:szCs w:val="24"/>
        </w:rPr>
      </w:pPr>
      <w:r w:rsidRPr="00FA7700">
        <w:rPr>
          <w:rFonts w:cstheme="minorHAnsi"/>
          <w:sz w:val="24"/>
          <w:szCs w:val="24"/>
        </w:rPr>
        <w:t>Dividend Income: The LEQTF invests in the stocks</w:t>
      </w:r>
      <w:r w:rsidR="005E59A1">
        <w:rPr>
          <w:rFonts w:cstheme="minorHAnsi"/>
          <w:sz w:val="24"/>
          <w:szCs w:val="24"/>
        </w:rPr>
        <w:t xml:space="preserve"> and corporate ETFs</w:t>
      </w:r>
      <w:r w:rsidRPr="00FA7700">
        <w:rPr>
          <w:rFonts w:cstheme="minorHAnsi"/>
          <w:sz w:val="24"/>
          <w:szCs w:val="24"/>
        </w:rPr>
        <w:t xml:space="preserve"> of publicly traded companies.  These companies distribute their earnings to shareholders in the form of dividends.  Dividend income from LEQTF investments in </w:t>
      </w:r>
      <w:r w:rsidR="008D3B48">
        <w:rPr>
          <w:rFonts w:cstheme="minorHAnsi"/>
          <w:sz w:val="24"/>
          <w:szCs w:val="24"/>
        </w:rPr>
        <w:t>FY 202</w:t>
      </w:r>
      <w:r w:rsidR="00FF15C7">
        <w:rPr>
          <w:rFonts w:cstheme="minorHAnsi"/>
          <w:sz w:val="24"/>
          <w:szCs w:val="24"/>
        </w:rPr>
        <w:t>3</w:t>
      </w:r>
      <w:r w:rsidRPr="00FA7700">
        <w:rPr>
          <w:rFonts w:cstheme="minorHAnsi"/>
          <w:sz w:val="24"/>
          <w:szCs w:val="24"/>
        </w:rPr>
        <w:t xml:space="preserve"> was $</w:t>
      </w:r>
      <w:r w:rsidR="00FF15C7">
        <w:rPr>
          <w:rFonts w:cstheme="minorHAnsi"/>
          <w:sz w:val="24"/>
          <w:szCs w:val="24"/>
        </w:rPr>
        <w:t>14.84</w:t>
      </w:r>
      <w:r w:rsidRPr="00FA7700">
        <w:rPr>
          <w:rFonts w:cstheme="minorHAnsi"/>
          <w:sz w:val="24"/>
          <w:szCs w:val="24"/>
        </w:rPr>
        <w:t xml:space="preserve"> </w:t>
      </w:r>
      <w:r w:rsidR="0072616B">
        <w:rPr>
          <w:rFonts w:cstheme="minorHAnsi"/>
          <w:sz w:val="24"/>
          <w:szCs w:val="24"/>
        </w:rPr>
        <w:t>Million</w:t>
      </w:r>
      <w:r w:rsidRPr="00FA7700">
        <w:rPr>
          <w:rFonts w:cstheme="minorHAnsi"/>
          <w:sz w:val="24"/>
          <w:szCs w:val="24"/>
        </w:rPr>
        <w:t>.</w:t>
      </w:r>
    </w:p>
    <w:p w14:paraId="14971464" w14:textId="77777777" w:rsidR="00FA7700" w:rsidRPr="00FA7700" w:rsidRDefault="00FA7700" w:rsidP="00FA7700">
      <w:pPr>
        <w:jc w:val="both"/>
        <w:rPr>
          <w:rFonts w:cstheme="minorHAnsi"/>
          <w:sz w:val="24"/>
          <w:szCs w:val="24"/>
        </w:rPr>
      </w:pPr>
    </w:p>
    <w:p w14:paraId="02F5FEBF" w14:textId="21143291" w:rsidR="00FA7700" w:rsidRPr="00FA7700" w:rsidRDefault="00FA7700" w:rsidP="00FA7700">
      <w:pPr>
        <w:jc w:val="both"/>
        <w:rPr>
          <w:rFonts w:cstheme="minorHAnsi"/>
          <w:sz w:val="24"/>
          <w:szCs w:val="24"/>
        </w:rPr>
      </w:pPr>
      <w:r w:rsidRPr="00FA7700">
        <w:rPr>
          <w:rFonts w:cstheme="minorHAnsi"/>
          <w:sz w:val="24"/>
          <w:szCs w:val="24"/>
        </w:rPr>
        <w:t>Securities Lending Income:  LEQTF securities holdings are sometimes temporarily loaned to major Wall Street brokerage firms, providing an additional source of income for the fund</w:t>
      </w:r>
      <w:r w:rsidR="00D910A1">
        <w:rPr>
          <w:rFonts w:cstheme="minorHAnsi"/>
          <w:sz w:val="24"/>
          <w:szCs w:val="24"/>
        </w:rPr>
        <w:t>.  In FY 202</w:t>
      </w:r>
      <w:r w:rsidR="00FF15C7">
        <w:rPr>
          <w:rFonts w:cstheme="minorHAnsi"/>
          <w:sz w:val="24"/>
          <w:szCs w:val="24"/>
        </w:rPr>
        <w:t>3</w:t>
      </w:r>
      <w:r w:rsidR="00D910A1">
        <w:rPr>
          <w:rFonts w:cstheme="minorHAnsi"/>
          <w:sz w:val="24"/>
          <w:szCs w:val="24"/>
        </w:rPr>
        <w:t xml:space="preserve"> the fund earned $</w:t>
      </w:r>
      <w:r w:rsidR="00FF15C7">
        <w:rPr>
          <w:rFonts w:cstheme="minorHAnsi"/>
          <w:sz w:val="24"/>
          <w:szCs w:val="24"/>
        </w:rPr>
        <w:t>2,017</w:t>
      </w:r>
      <w:r w:rsidR="00D910A1">
        <w:rPr>
          <w:rFonts w:cstheme="minorHAnsi"/>
          <w:sz w:val="24"/>
          <w:szCs w:val="24"/>
        </w:rPr>
        <w:t>.00 in securities lending income</w:t>
      </w:r>
      <w:r w:rsidRPr="00FA7700">
        <w:rPr>
          <w:rFonts w:cstheme="minorHAnsi"/>
          <w:sz w:val="24"/>
          <w:szCs w:val="24"/>
        </w:rPr>
        <w:t xml:space="preserve"> </w:t>
      </w:r>
    </w:p>
    <w:p w14:paraId="1BF9C976" w14:textId="77777777" w:rsidR="003D38C6" w:rsidRPr="00FA7700" w:rsidRDefault="003D38C6" w:rsidP="00FA7700">
      <w:pPr>
        <w:jc w:val="both"/>
        <w:rPr>
          <w:rFonts w:cstheme="minorHAnsi"/>
          <w:sz w:val="24"/>
          <w:szCs w:val="24"/>
        </w:rPr>
      </w:pPr>
    </w:p>
    <w:p w14:paraId="0ECA73A9" w14:textId="77777777" w:rsidR="00FA7700" w:rsidRPr="00FA7700" w:rsidRDefault="00FA7700" w:rsidP="00FA7700">
      <w:pPr>
        <w:jc w:val="both"/>
        <w:rPr>
          <w:rFonts w:cstheme="minorHAnsi"/>
          <w:sz w:val="36"/>
          <w:szCs w:val="36"/>
        </w:rPr>
      </w:pPr>
      <w:r w:rsidRPr="00FA7700">
        <w:rPr>
          <w:rFonts w:cstheme="minorHAnsi"/>
          <w:sz w:val="36"/>
          <w:szCs w:val="36"/>
        </w:rPr>
        <w:t>Capital Gains/Losses</w:t>
      </w:r>
    </w:p>
    <w:p w14:paraId="07C3C33C" w14:textId="77777777" w:rsidR="00FA7700" w:rsidRPr="00FA7700" w:rsidRDefault="00FA7700" w:rsidP="00FA7700">
      <w:pPr>
        <w:jc w:val="both"/>
        <w:rPr>
          <w:rFonts w:cstheme="minorHAnsi"/>
          <w:sz w:val="24"/>
          <w:szCs w:val="24"/>
        </w:rPr>
      </w:pPr>
    </w:p>
    <w:p w14:paraId="7C25880B" w14:textId="7DF999AA" w:rsidR="00FA7700" w:rsidRDefault="00FA7700" w:rsidP="00FA7700">
      <w:pPr>
        <w:jc w:val="both"/>
        <w:rPr>
          <w:rFonts w:cstheme="minorHAnsi"/>
          <w:sz w:val="24"/>
          <w:szCs w:val="24"/>
        </w:rPr>
      </w:pPr>
      <w:r w:rsidRPr="00FA7700">
        <w:rPr>
          <w:rFonts w:cstheme="minorHAnsi"/>
          <w:sz w:val="24"/>
          <w:szCs w:val="24"/>
        </w:rPr>
        <w:t xml:space="preserve">For </w:t>
      </w:r>
      <w:r w:rsidR="008D3B48">
        <w:rPr>
          <w:rFonts w:cstheme="minorHAnsi"/>
          <w:sz w:val="24"/>
          <w:szCs w:val="24"/>
        </w:rPr>
        <w:t>FY 202</w:t>
      </w:r>
      <w:r w:rsidR="00FF15C7">
        <w:rPr>
          <w:rFonts w:cstheme="minorHAnsi"/>
          <w:sz w:val="24"/>
          <w:szCs w:val="24"/>
        </w:rPr>
        <w:t>3</w:t>
      </w:r>
      <w:r w:rsidRPr="00FA7700">
        <w:rPr>
          <w:rFonts w:cstheme="minorHAnsi"/>
          <w:sz w:val="24"/>
          <w:szCs w:val="24"/>
        </w:rPr>
        <w:t>, the LEQTF experienced $</w:t>
      </w:r>
      <w:r w:rsidR="00D910A1">
        <w:rPr>
          <w:rFonts w:cstheme="minorHAnsi"/>
          <w:sz w:val="24"/>
          <w:szCs w:val="24"/>
        </w:rPr>
        <w:t>2</w:t>
      </w:r>
      <w:r w:rsidR="00FF15C7">
        <w:rPr>
          <w:rFonts w:cstheme="minorHAnsi"/>
          <w:sz w:val="24"/>
          <w:szCs w:val="24"/>
        </w:rPr>
        <w:t>.54</w:t>
      </w:r>
      <w:r w:rsidRPr="00FA7700">
        <w:rPr>
          <w:rFonts w:cstheme="minorHAnsi"/>
          <w:sz w:val="24"/>
          <w:szCs w:val="24"/>
        </w:rPr>
        <w:t xml:space="preserve"> </w:t>
      </w:r>
      <w:r w:rsidR="0072616B">
        <w:rPr>
          <w:rFonts w:cstheme="minorHAnsi"/>
          <w:sz w:val="24"/>
          <w:szCs w:val="24"/>
        </w:rPr>
        <w:t>Million</w:t>
      </w:r>
      <w:r w:rsidRPr="00FA7700">
        <w:rPr>
          <w:rFonts w:cstheme="minorHAnsi"/>
          <w:sz w:val="24"/>
          <w:szCs w:val="24"/>
        </w:rPr>
        <w:t xml:space="preserve"> in capital gains during the year from the sale of assets.  Of these gains, the Support Fund realize</w:t>
      </w:r>
      <w:r w:rsidR="006F5D6E">
        <w:rPr>
          <w:rFonts w:cstheme="minorHAnsi"/>
          <w:sz w:val="24"/>
          <w:szCs w:val="24"/>
        </w:rPr>
        <w:t>d</w:t>
      </w:r>
      <w:r w:rsidRPr="00FA7700">
        <w:rPr>
          <w:rFonts w:cstheme="minorHAnsi"/>
          <w:sz w:val="24"/>
          <w:szCs w:val="24"/>
        </w:rPr>
        <w:t xml:space="preserve"> 25 percent </w:t>
      </w:r>
      <w:r w:rsidR="00353976">
        <w:rPr>
          <w:rFonts w:cstheme="minorHAnsi"/>
          <w:sz w:val="24"/>
          <w:szCs w:val="24"/>
        </w:rPr>
        <w:t>or $</w:t>
      </w:r>
      <w:r w:rsidR="00D910A1">
        <w:rPr>
          <w:rFonts w:cstheme="minorHAnsi"/>
          <w:sz w:val="24"/>
          <w:szCs w:val="24"/>
        </w:rPr>
        <w:t>6</w:t>
      </w:r>
      <w:r w:rsidR="00FF15C7">
        <w:rPr>
          <w:rFonts w:cstheme="minorHAnsi"/>
          <w:sz w:val="24"/>
          <w:szCs w:val="24"/>
        </w:rPr>
        <w:t>34.6 Thousand</w:t>
      </w:r>
      <w:r w:rsidR="00353976">
        <w:rPr>
          <w:rFonts w:cstheme="minorHAnsi"/>
          <w:sz w:val="24"/>
          <w:szCs w:val="24"/>
        </w:rPr>
        <w:t xml:space="preserve"> </w:t>
      </w:r>
      <w:r w:rsidRPr="00FA7700">
        <w:rPr>
          <w:rFonts w:cstheme="minorHAnsi"/>
          <w:sz w:val="24"/>
          <w:szCs w:val="24"/>
        </w:rPr>
        <w:t>of all capital gains or losses, and the Permanent Fund realize</w:t>
      </w:r>
      <w:r w:rsidR="006F5D6E">
        <w:rPr>
          <w:rFonts w:cstheme="minorHAnsi"/>
          <w:sz w:val="24"/>
          <w:szCs w:val="24"/>
        </w:rPr>
        <w:t>d</w:t>
      </w:r>
      <w:r w:rsidRPr="00FA7700">
        <w:rPr>
          <w:rFonts w:cstheme="minorHAnsi"/>
          <w:sz w:val="24"/>
          <w:szCs w:val="24"/>
        </w:rPr>
        <w:t xml:space="preserve"> 75 percent</w:t>
      </w:r>
      <w:r w:rsidR="00353976">
        <w:rPr>
          <w:rFonts w:cstheme="minorHAnsi"/>
          <w:sz w:val="24"/>
          <w:szCs w:val="24"/>
        </w:rPr>
        <w:t xml:space="preserve"> or $</w:t>
      </w:r>
      <w:r w:rsidR="00FF15C7">
        <w:rPr>
          <w:rFonts w:cstheme="minorHAnsi"/>
          <w:sz w:val="24"/>
          <w:szCs w:val="24"/>
        </w:rPr>
        <w:t>1.90</w:t>
      </w:r>
      <w:r w:rsidR="00353976">
        <w:rPr>
          <w:rFonts w:cstheme="minorHAnsi"/>
          <w:sz w:val="24"/>
          <w:szCs w:val="24"/>
        </w:rPr>
        <w:t xml:space="preserve"> </w:t>
      </w:r>
      <w:r w:rsidR="0072616B">
        <w:rPr>
          <w:rFonts w:cstheme="minorHAnsi"/>
          <w:sz w:val="24"/>
          <w:szCs w:val="24"/>
        </w:rPr>
        <w:t>Million</w:t>
      </w:r>
      <w:r w:rsidRPr="00FA7700">
        <w:rPr>
          <w:rFonts w:cstheme="minorHAnsi"/>
          <w:sz w:val="24"/>
          <w:szCs w:val="24"/>
        </w:rPr>
        <w:t>.</w:t>
      </w:r>
    </w:p>
    <w:p w14:paraId="156E0982" w14:textId="77777777" w:rsidR="003D38C6" w:rsidRDefault="003D38C6" w:rsidP="003D38C6">
      <w:pPr>
        <w:jc w:val="both"/>
        <w:rPr>
          <w:rFonts w:cstheme="minorHAnsi"/>
          <w:sz w:val="24"/>
          <w:szCs w:val="24"/>
        </w:rPr>
      </w:pPr>
    </w:p>
    <w:p w14:paraId="1E30E7F0" w14:textId="754BD830" w:rsidR="009E1CDA" w:rsidRDefault="009E1CDA">
      <w:pPr>
        <w:rPr>
          <w:rFonts w:cstheme="minorHAnsi"/>
          <w:sz w:val="24"/>
          <w:szCs w:val="24"/>
        </w:rPr>
      </w:pPr>
      <w:r>
        <w:rPr>
          <w:rFonts w:cstheme="minorHAnsi"/>
          <w:sz w:val="24"/>
          <w:szCs w:val="24"/>
        </w:rPr>
        <w:br w:type="page"/>
      </w:r>
    </w:p>
    <w:p w14:paraId="396F7FD7" w14:textId="77777777" w:rsidR="003D38C6" w:rsidRDefault="003D38C6" w:rsidP="003D38C6">
      <w:pPr>
        <w:rPr>
          <w:rFonts w:cstheme="minorHAnsi"/>
          <w:b/>
          <w:sz w:val="32"/>
          <w:szCs w:val="32"/>
        </w:rPr>
      </w:pPr>
      <w:r w:rsidRPr="00BA3303">
        <w:rPr>
          <w:rFonts w:cstheme="minorHAnsi"/>
          <w:b/>
          <w:sz w:val="32"/>
          <w:szCs w:val="32"/>
        </w:rPr>
        <w:lastRenderedPageBreak/>
        <w:t xml:space="preserve">History of </w:t>
      </w:r>
      <w:r>
        <w:rPr>
          <w:rFonts w:cstheme="minorHAnsi"/>
          <w:b/>
          <w:sz w:val="32"/>
          <w:szCs w:val="32"/>
        </w:rPr>
        <w:t xml:space="preserve">Investment </w:t>
      </w:r>
      <w:r w:rsidRPr="00BA3303">
        <w:rPr>
          <w:rFonts w:cstheme="minorHAnsi"/>
          <w:b/>
          <w:sz w:val="32"/>
          <w:szCs w:val="32"/>
        </w:rPr>
        <w:t xml:space="preserve">Income </w:t>
      </w:r>
    </w:p>
    <w:tbl>
      <w:tblPr>
        <w:tblW w:w="7220" w:type="dxa"/>
        <w:tblLook w:val="04A0" w:firstRow="1" w:lastRow="0" w:firstColumn="1" w:lastColumn="0" w:noHBand="0" w:noVBand="1"/>
      </w:tblPr>
      <w:tblGrid>
        <w:gridCol w:w="1920"/>
        <w:gridCol w:w="1120"/>
        <w:gridCol w:w="1020"/>
        <w:gridCol w:w="1020"/>
        <w:gridCol w:w="1020"/>
        <w:gridCol w:w="1120"/>
      </w:tblGrid>
      <w:tr w:rsidR="003D38C6" w:rsidRPr="006875BA" w14:paraId="10FB0E9C" w14:textId="77777777" w:rsidTr="00460015">
        <w:trPr>
          <w:trHeight w:val="675"/>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83D1E" w14:textId="77777777" w:rsidR="003D38C6" w:rsidRPr="006875BA" w:rsidRDefault="003D38C6" w:rsidP="00460015">
            <w:pPr>
              <w:rPr>
                <w:rFonts w:ascii="Arial" w:eastAsia="Times New Roman" w:hAnsi="Arial" w:cs="Arial"/>
                <w:sz w:val="20"/>
                <w:szCs w:val="20"/>
              </w:rPr>
            </w:pPr>
            <w:r w:rsidRPr="006875BA">
              <w:rPr>
                <w:rFonts w:ascii="Arial" w:eastAsia="Times New Roman" w:hAnsi="Arial" w:cs="Arial"/>
                <w:sz w:val="20"/>
                <w:szCs w:val="20"/>
              </w:rPr>
              <w:t> </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569D4B7D" w14:textId="77777777" w:rsidR="003D38C6" w:rsidRPr="006875BA" w:rsidRDefault="003D38C6" w:rsidP="00460015">
            <w:pPr>
              <w:jc w:val="center"/>
              <w:rPr>
                <w:rFonts w:ascii="Arial" w:eastAsia="Times New Roman" w:hAnsi="Arial" w:cs="Arial"/>
                <w:sz w:val="16"/>
                <w:szCs w:val="16"/>
              </w:rPr>
            </w:pPr>
            <w:r w:rsidRPr="006875BA">
              <w:rPr>
                <w:rFonts w:ascii="Arial" w:eastAsia="Times New Roman" w:hAnsi="Arial" w:cs="Arial"/>
                <w:sz w:val="16"/>
                <w:szCs w:val="16"/>
              </w:rPr>
              <w:t>Interest Income</w:t>
            </w:r>
          </w:p>
        </w:tc>
        <w:tc>
          <w:tcPr>
            <w:tcW w:w="1020" w:type="dxa"/>
            <w:tcBorders>
              <w:top w:val="single" w:sz="4" w:space="0" w:color="auto"/>
              <w:left w:val="nil"/>
              <w:bottom w:val="single" w:sz="4" w:space="0" w:color="auto"/>
              <w:right w:val="single" w:sz="4" w:space="0" w:color="auto"/>
            </w:tcBorders>
            <w:shd w:val="clear" w:color="auto" w:fill="auto"/>
            <w:vAlign w:val="bottom"/>
            <w:hideMark/>
          </w:tcPr>
          <w:p w14:paraId="6B65DEF6" w14:textId="77777777" w:rsidR="003D38C6" w:rsidRPr="006875BA" w:rsidRDefault="003D38C6" w:rsidP="00460015">
            <w:pPr>
              <w:jc w:val="center"/>
              <w:rPr>
                <w:rFonts w:ascii="Arial" w:eastAsia="Times New Roman" w:hAnsi="Arial" w:cs="Arial"/>
                <w:sz w:val="16"/>
                <w:szCs w:val="16"/>
              </w:rPr>
            </w:pPr>
            <w:r w:rsidRPr="006875BA">
              <w:rPr>
                <w:rFonts w:ascii="Arial" w:eastAsia="Times New Roman" w:hAnsi="Arial" w:cs="Arial"/>
                <w:sz w:val="16"/>
                <w:szCs w:val="16"/>
              </w:rPr>
              <w:t>Securities Lending Income</w:t>
            </w:r>
          </w:p>
        </w:tc>
        <w:tc>
          <w:tcPr>
            <w:tcW w:w="1020" w:type="dxa"/>
            <w:tcBorders>
              <w:top w:val="single" w:sz="4" w:space="0" w:color="auto"/>
              <w:left w:val="nil"/>
              <w:bottom w:val="single" w:sz="4" w:space="0" w:color="auto"/>
              <w:right w:val="single" w:sz="4" w:space="0" w:color="auto"/>
            </w:tcBorders>
            <w:shd w:val="clear" w:color="auto" w:fill="auto"/>
            <w:vAlign w:val="bottom"/>
            <w:hideMark/>
          </w:tcPr>
          <w:p w14:paraId="3E277A6E" w14:textId="77777777" w:rsidR="003D38C6" w:rsidRPr="006875BA" w:rsidRDefault="003D38C6" w:rsidP="00460015">
            <w:pPr>
              <w:jc w:val="center"/>
              <w:rPr>
                <w:rFonts w:ascii="Arial" w:eastAsia="Times New Roman" w:hAnsi="Arial" w:cs="Arial"/>
                <w:sz w:val="16"/>
                <w:szCs w:val="16"/>
              </w:rPr>
            </w:pPr>
            <w:r w:rsidRPr="006875BA">
              <w:rPr>
                <w:rFonts w:ascii="Arial" w:eastAsia="Times New Roman" w:hAnsi="Arial" w:cs="Arial"/>
                <w:sz w:val="16"/>
                <w:szCs w:val="16"/>
              </w:rPr>
              <w:t>Dividend Income</w:t>
            </w:r>
          </w:p>
        </w:tc>
        <w:tc>
          <w:tcPr>
            <w:tcW w:w="1020" w:type="dxa"/>
            <w:tcBorders>
              <w:top w:val="single" w:sz="4" w:space="0" w:color="auto"/>
              <w:left w:val="nil"/>
              <w:bottom w:val="single" w:sz="4" w:space="0" w:color="auto"/>
              <w:right w:val="single" w:sz="4" w:space="0" w:color="auto"/>
            </w:tcBorders>
            <w:shd w:val="clear" w:color="auto" w:fill="auto"/>
            <w:vAlign w:val="bottom"/>
            <w:hideMark/>
          </w:tcPr>
          <w:p w14:paraId="0B909991" w14:textId="77777777" w:rsidR="003D38C6" w:rsidRPr="006875BA" w:rsidRDefault="003D38C6" w:rsidP="00460015">
            <w:pPr>
              <w:jc w:val="center"/>
              <w:rPr>
                <w:rFonts w:ascii="Arial" w:eastAsia="Times New Roman" w:hAnsi="Arial" w:cs="Arial"/>
                <w:sz w:val="16"/>
                <w:szCs w:val="16"/>
              </w:rPr>
            </w:pPr>
            <w:r w:rsidRPr="006875BA">
              <w:rPr>
                <w:rFonts w:ascii="Arial" w:eastAsia="Times New Roman" w:hAnsi="Arial" w:cs="Arial"/>
                <w:sz w:val="16"/>
                <w:szCs w:val="16"/>
              </w:rPr>
              <w:t>Gains &amp; Losses</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45600DB7" w14:textId="77777777" w:rsidR="003D38C6" w:rsidRPr="006875BA" w:rsidRDefault="003D38C6" w:rsidP="00460015">
            <w:pPr>
              <w:jc w:val="center"/>
              <w:rPr>
                <w:rFonts w:ascii="Arial" w:eastAsia="Times New Roman" w:hAnsi="Arial" w:cs="Arial"/>
                <w:sz w:val="16"/>
                <w:szCs w:val="16"/>
              </w:rPr>
            </w:pPr>
            <w:r w:rsidRPr="006875BA">
              <w:rPr>
                <w:rFonts w:ascii="Arial" w:eastAsia="Times New Roman" w:hAnsi="Arial" w:cs="Arial"/>
                <w:sz w:val="16"/>
                <w:szCs w:val="16"/>
              </w:rPr>
              <w:t>Total Investment Income</w:t>
            </w:r>
          </w:p>
        </w:tc>
      </w:tr>
      <w:tr w:rsidR="003D38C6" w:rsidRPr="006875BA" w14:paraId="4ECF3985" w14:textId="77777777" w:rsidTr="00460015">
        <w:trPr>
          <w:trHeight w:val="255"/>
        </w:trPr>
        <w:tc>
          <w:tcPr>
            <w:tcW w:w="1920" w:type="dxa"/>
            <w:tcBorders>
              <w:top w:val="nil"/>
              <w:left w:val="single" w:sz="4" w:space="0" w:color="auto"/>
              <w:bottom w:val="single" w:sz="4" w:space="0" w:color="auto"/>
              <w:right w:val="nil"/>
            </w:tcBorders>
            <w:shd w:val="clear" w:color="auto" w:fill="auto"/>
            <w:noWrap/>
            <w:vAlign w:val="bottom"/>
            <w:hideMark/>
          </w:tcPr>
          <w:p w14:paraId="0A6C2415" w14:textId="77777777" w:rsidR="003D38C6" w:rsidRPr="006875BA" w:rsidRDefault="003D38C6" w:rsidP="00460015">
            <w:pPr>
              <w:rPr>
                <w:rFonts w:ascii="Arial" w:eastAsia="Times New Roman" w:hAnsi="Arial" w:cs="Arial"/>
                <w:b/>
                <w:bCs/>
                <w:sz w:val="16"/>
                <w:szCs w:val="16"/>
              </w:rPr>
            </w:pPr>
            <w:r w:rsidRPr="006875BA">
              <w:rPr>
                <w:rFonts w:ascii="Arial" w:eastAsia="Times New Roman" w:hAnsi="Arial" w:cs="Arial"/>
                <w:b/>
                <w:bCs/>
                <w:sz w:val="16"/>
                <w:szCs w:val="16"/>
              </w:rPr>
              <w:t>Fiscal Year 22-23</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1B0EFF3" w14:textId="77777777" w:rsidR="003D38C6" w:rsidRPr="006875BA" w:rsidRDefault="003D38C6" w:rsidP="00460015">
            <w:pPr>
              <w:ind w:firstLineChars="100" w:firstLine="161"/>
              <w:jc w:val="right"/>
              <w:rPr>
                <w:rFonts w:ascii="Arial" w:eastAsia="Times New Roman" w:hAnsi="Arial" w:cs="Arial"/>
                <w:b/>
                <w:bCs/>
                <w:sz w:val="16"/>
                <w:szCs w:val="16"/>
              </w:rPr>
            </w:pPr>
            <w:r w:rsidRPr="006875BA">
              <w:rPr>
                <w:rFonts w:ascii="Arial" w:eastAsia="Times New Roman" w:hAnsi="Arial" w:cs="Arial"/>
                <w:b/>
                <w:bCs/>
                <w:sz w:val="16"/>
                <w:szCs w:val="16"/>
              </w:rPr>
              <w:t>$21.18</w:t>
            </w:r>
          </w:p>
        </w:tc>
        <w:tc>
          <w:tcPr>
            <w:tcW w:w="1020" w:type="dxa"/>
            <w:tcBorders>
              <w:top w:val="nil"/>
              <w:left w:val="nil"/>
              <w:bottom w:val="single" w:sz="4" w:space="0" w:color="auto"/>
              <w:right w:val="single" w:sz="4" w:space="0" w:color="auto"/>
            </w:tcBorders>
            <w:shd w:val="clear" w:color="auto" w:fill="auto"/>
            <w:noWrap/>
            <w:vAlign w:val="bottom"/>
            <w:hideMark/>
          </w:tcPr>
          <w:p w14:paraId="2BF23191" w14:textId="77777777" w:rsidR="003D38C6" w:rsidRPr="006875BA" w:rsidRDefault="003D38C6" w:rsidP="00460015">
            <w:pPr>
              <w:ind w:firstLineChars="100" w:firstLine="161"/>
              <w:jc w:val="right"/>
              <w:rPr>
                <w:rFonts w:ascii="Arial" w:eastAsia="Times New Roman" w:hAnsi="Arial" w:cs="Arial"/>
                <w:b/>
                <w:bCs/>
                <w:sz w:val="16"/>
                <w:szCs w:val="16"/>
              </w:rPr>
            </w:pPr>
            <w:r w:rsidRPr="006875BA">
              <w:rPr>
                <w:rFonts w:ascii="Arial" w:eastAsia="Times New Roman" w:hAnsi="Arial" w:cs="Arial"/>
                <w:b/>
                <w:bCs/>
                <w:sz w:val="16"/>
                <w:szCs w:val="16"/>
              </w:rPr>
              <w:t>$0.00</w:t>
            </w:r>
          </w:p>
        </w:tc>
        <w:tc>
          <w:tcPr>
            <w:tcW w:w="1020" w:type="dxa"/>
            <w:tcBorders>
              <w:top w:val="nil"/>
              <w:left w:val="nil"/>
              <w:bottom w:val="single" w:sz="4" w:space="0" w:color="auto"/>
              <w:right w:val="single" w:sz="4" w:space="0" w:color="auto"/>
            </w:tcBorders>
            <w:shd w:val="clear" w:color="auto" w:fill="auto"/>
            <w:noWrap/>
            <w:vAlign w:val="bottom"/>
            <w:hideMark/>
          </w:tcPr>
          <w:p w14:paraId="05645DEC" w14:textId="77777777" w:rsidR="003D38C6" w:rsidRPr="006875BA" w:rsidRDefault="003D38C6" w:rsidP="00460015">
            <w:pPr>
              <w:ind w:firstLineChars="100" w:firstLine="161"/>
              <w:jc w:val="right"/>
              <w:rPr>
                <w:rFonts w:ascii="Arial" w:eastAsia="Times New Roman" w:hAnsi="Arial" w:cs="Arial"/>
                <w:b/>
                <w:bCs/>
                <w:sz w:val="16"/>
                <w:szCs w:val="16"/>
              </w:rPr>
            </w:pPr>
            <w:r w:rsidRPr="006875BA">
              <w:rPr>
                <w:rFonts w:ascii="Arial" w:eastAsia="Times New Roman" w:hAnsi="Arial" w:cs="Arial"/>
                <w:b/>
                <w:bCs/>
                <w:sz w:val="16"/>
                <w:szCs w:val="16"/>
              </w:rPr>
              <w:t>$14.84</w:t>
            </w:r>
          </w:p>
        </w:tc>
        <w:tc>
          <w:tcPr>
            <w:tcW w:w="1020" w:type="dxa"/>
            <w:tcBorders>
              <w:top w:val="nil"/>
              <w:left w:val="nil"/>
              <w:bottom w:val="single" w:sz="4" w:space="0" w:color="auto"/>
              <w:right w:val="single" w:sz="4" w:space="0" w:color="auto"/>
            </w:tcBorders>
            <w:shd w:val="clear" w:color="auto" w:fill="auto"/>
            <w:noWrap/>
            <w:vAlign w:val="bottom"/>
            <w:hideMark/>
          </w:tcPr>
          <w:p w14:paraId="7673DCD4" w14:textId="77777777" w:rsidR="003D38C6" w:rsidRPr="006875BA" w:rsidRDefault="003D38C6" w:rsidP="00460015">
            <w:pPr>
              <w:ind w:firstLineChars="100" w:firstLine="161"/>
              <w:jc w:val="right"/>
              <w:rPr>
                <w:rFonts w:ascii="Arial" w:eastAsia="Times New Roman" w:hAnsi="Arial" w:cs="Arial"/>
                <w:b/>
                <w:bCs/>
                <w:sz w:val="16"/>
                <w:szCs w:val="16"/>
              </w:rPr>
            </w:pPr>
            <w:r w:rsidRPr="006875BA">
              <w:rPr>
                <w:rFonts w:ascii="Arial" w:eastAsia="Times New Roman" w:hAnsi="Arial" w:cs="Arial"/>
                <w:b/>
                <w:bCs/>
                <w:sz w:val="16"/>
                <w:szCs w:val="16"/>
              </w:rPr>
              <w:t>$2.54</w:t>
            </w:r>
          </w:p>
        </w:tc>
        <w:tc>
          <w:tcPr>
            <w:tcW w:w="1120" w:type="dxa"/>
            <w:tcBorders>
              <w:top w:val="nil"/>
              <w:left w:val="nil"/>
              <w:bottom w:val="single" w:sz="4" w:space="0" w:color="auto"/>
              <w:right w:val="single" w:sz="4" w:space="0" w:color="auto"/>
            </w:tcBorders>
            <w:shd w:val="clear" w:color="auto" w:fill="auto"/>
            <w:noWrap/>
            <w:vAlign w:val="bottom"/>
            <w:hideMark/>
          </w:tcPr>
          <w:p w14:paraId="55EBB6C3" w14:textId="77777777" w:rsidR="003D38C6" w:rsidRPr="006875BA" w:rsidRDefault="003D38C6" w:rsidP="00460015">
            <w:pPr>
              <w:ind w:firstLineChars="100" w:firstLine="161"/>
              <w:jc w:val="right"/>
              <w:rPr>
                <w:rFonts w:ascii="Arial" w:eastAsia="Times New Roman" w:hAnsi="Arial" w:cs="Arial"/>
                <w:b/>
                <w:bCs/>
                <w:sz w:val="16"/>
                <w:szCs w:val="16"/>
              </w:rPr>
            </w:pPr>
            <w:r w:rsidRPr="006875BA">
              <w:rPr>
                <w:rFonts w:ascii="Arial" w:eastAsia="Times New Roman" w:hAnsi="Arial" w:cs="Arial"/>
                <w:b/>
                <w:bCs/>
                <w:sz w:val="16"/>
                <w:szCs w:val="16"/>
              </w:rPr>
              <w:t>$38.56</w:t>
            </w:r>
          </w:p>
        </w:tc>
      </w:tr>
      <w:tr w:rsidR="003D38C6" w:rsidRPr="006875BA" w14:paraId="15CF69FA" w14:textId="77777777" w:rsidTr="00460015">
        <w:trPr>
          <w:trHeight w:val="255"/>
        </w:trPr>
        <w:tc>
          <w:tcPr>
            <w:tcW w:w="1920" w:type="dxa"/>
            <w:tcBorders>
              <w:top w:val="nil"/>
              <w:left w:val="single" w:sz="4" w:space="0" w:color="auto"/>
              <w:bottom w:val="single" w:sz="4" w:space="0" w:color="auto"/>
              <w:right w:val="nil"/>
            </w:tcBorders>
            <w:shd w:val="clear" w:color="auto" w:fill="auto"/>
            <w:noWrap/>
            <w:vAlign w:val="bottom"/>
            <w:hideMark/>
          </w:tcPr>
          <w:p w14:paraId="7EDE859E" w14:textId="77777777" w:rsidR="003D38C6" w:rsidRPr="006875BA" w:rsidRDefault="003D38C6" w:rsidP="00460015">
            <w:pPr>
              <w:rPr>
                <w:rFonts w:ascii="Arial" w:eastAsia="Times New Roman" w:hAnsi="Arial" w:cs="Arial"/>
                <w:sz w:val="16"/>
                <w:szCs w:val="16"/>
              </w:rPr>
            </w:pPr>
            <w:r w:rsidRPr="006875BA">
              <w:rPr>
                <w:rFonts w:ascii="Arial" w:eastAsia="Times New Roman" w:hAnsi="Arial" w:cs="Arial"/>
                <w:sz w:val="16"/>
                <w:szCs w:val="16"/>
              </w:rPr>
              <w:t xml:space="preserve">5 </w:t>
            </w:r>
            <w:proofErr w:type="spellStart"/>
            <w:r w:rsidRPr="006875BA">
              <w:rPr>
                <w:rFonts w:ascii="Arial" w:eastAsia="Times New Roman" w:hAnsi="Arial" w:cs="Arial"/>
                <w:sz w:val="16"/>
                <w:szCs w:val="16"/>
              </w:rPr>
              <w:t>Yr</w:t>
            </w:r>
            <w:proofErr w:type="spellEnd"/>
            <w:r w:rsidRPr="006875BA">
              <w:rPr>
                <w:rFonts w:ascii="Arial" w:eastAsia="Times New Roman" w:hAnsi="Arial" w:cs="Arial"/>
                <w:sz w:val="16"/>
                <w:szCs w:val="16"/>
              </w:rPr>
              <w:t xml:space="preserve"> Average</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9B90A97" w14:textId="77777777" w:rsidR="003D38C6" w:rsidRPr="006875BA" w:rsidRDefault="003D38C6" w:rsidP="00460015">
            <w:pPr>
              <w:ind w:firstLineChars="100" w:firstLine="160"/>
              <w:jc w:val="right"/>
              <w:rPr>
                <w:rFonts w:ascii="Arial" w:eastAsia="Times New Roman" w:hAnsi="Arial" w:cs="Arial"/>
                <w:sz w:val="16"/>
                <w:szCs w:val="16"/>
              </w:rPr>
            </w:pPr>
            <w:r w:rsidRPr="006875BA">
              <w:rPr>
                <w:rFonts w:ascii="Arial" w:eastAsia="Times New Roman" w:hAnsi="Arial" w:cs="Arial"/>
                <w:sz w:val="16"/>
                <w:szCs w:val="16"/>
              </w:rPr>
              <w:t>$25.55</w:t>
            </w:r>
          </w:p>
        </w:tc>
        <w:tc>
          <w:tcPr>
            <w:tcW w:w="1020" w:type="dxa"/>
            <w:tcBorders>
              <w:top w:val="nil"/>
              <w:left w:val="nil"/>
              <w:bottom w:val="single" w:sz="4" w:space="0" w:color="auto"/>
              <w:right w:val="single" w:sz="4" w:space="0" w:color="auto"/>
            </w:tcBorders>
            <w:shd w:val="clear" w:color="auto" w:fill="auto"/>
            <w:noWrap/>
            <w:vAlign w:val="bottom"/>
            <w:hideMark/>
          </w:tcPr>
          <w:p w14:paraId="0AD81701" w14:textId="77777777" w:rsidR="003D38C6" w:rsidRPr="006875BA" w:rsidRDefault="003D38C6" w:rsidP="00460015">
            <w:pPr>
              <w:ind w:firstLineChars="100" w:firstLine="160"/>
              <w:jc w:val="right"/>
              <w:rPr>
                <w:rFonts w:ascii="Arial" w:eastAsia="Times New Roman" w:hAnsi="Arial" w:cs="Arial"/>
                <w:sz w:val="16"/>
                <w:szCs w:val="16"/>
              </w:rPr>
            </w:pPr>
            <w:r w:rsidRPr="006875BA">
              <w:rPr>
                <w:rFonts w:ascii="Arial" w:eastAsia="Times New Roman" w:hAnsi="Arial" w:cs="Arial"/>
                <w:sz w:val="16"/>
                <w:szCs w:val="16"/>
              </w:rPr>
              <w:t>$0.10</w:t>
            </w:r>
          </w:p>
        </w:tc>
        <w:tc>
          <w:tcPr>
            <w:tcW w:w="1020" w:type="dxa"/>
            <w:tcBorders>
              <w:top w:val="nil"/>
              <w:left w:val="nil"/>
              <w:bottom w:val="single" w:sz="4" w:space="0" w:color="auto"/>
              <w:right w:val="single" w:sz="4" w:space="0" w:color="auto"/>
            </w:tcBorders>
            <w:shd w:val="clear" w:color="auto" w:fill="auto"/>
            <w:noWrap/>
            <w:vAlign w:val="bottom"/>
            <w:hideMark/>
          </w:tcPr>
          <w:p w14:paraId="1EF7342B" w14:textId="77777777" w:rsidR="003D38C6" w:rsidRPr="006875BA" w:rsidRDefault="003D38C6" w:rsidP="00460015">
            <w:pPr>
              <w:ind w:firstLineChars="100" w:firstLine="160"/>
              <w:jc w:val="right"/>
              <w:rPr>
                <w:rFonts w:ascii="Arial" w:eastAsia="Times New Roman" w:hAnsi="Arial" w:cs="Arial"/>
                <w:sz w:val="16"/>
                <w:szCs w:val="16"/>
              </w:rPr>
            </w:pPr>
            <w:r w:rsidRPr="006875BA">
              <w:rPr>
                <w:rFonts w:ascii="Arial" w:eastAsia="Times New Roman" w:hAnsi="Arial" w:cs="Arial"/>
                <w:sz w:val="16"/>
                <w:szCs w:val="16"/>
              </w:rPr>
              <w:t>$11.84</w:t>
            </w:r>
          </w:p>
        </w:tc>
        <w:tc>
          <w:tcPr>
            <w:tcW w:w="1020" w:type="dxa"/>
            <w:tcBorders>
              <w:top w:val="nil"/>
              <w:left w:val="nil"/>
              <w:bottom w:val="single" w:sz="4" w:space="0" w:color="auto"/>
              <w:right w:val="single" w:sz="4" w:space="0" w:color="auto"/>
            </w:tcBorders>
            <w:shd w:val="clear" w:color="auto" w:fill="auto"/>
            <w:noWrap/>
            <w:vAlign w:val="bottom"/>
            <w:hideMark/>
          </w:tcPr>
          <w:p w14:paraId="0C990EF2" w14:textId="77777777" w:rsidR="003D38C6" w:rsidRPr="006875BA" w:rsidRDefault="003D38C6" w:rsidP="00460015">
            <w:pPr>
              <w:ind w:firstLineChars="100" w:firstLine="160"/>
              <w:jc w:val="right"/>
              <w:rPr>
                <w:rFonts w:ascii="Arial" w:eastAsia="Times New Roman" w:hAnsi="Arial" w:cs="Arial"/>
                <w:sz w:val="16"/>
                <w:szCs w:val="16"/>
              </w:rPr>
            </w:pPr>
            <w:r w:rsidRPr="006875BA">
              <w:rPr>
                <w:rFonts w:ascii="Arial" w:eastAsia="Times New Roman" w:hAnsi="Arial" w:cs="Arial"/>
                <w:sz w:val="16"/>
                <w:szCs w:val="16"/>
              </w:rPr>
              <w:t>$32.96</w:t>
            </w:r>
          </w:p>
        </w:tc>
        <w:tc>
          <w:tcPr>
            <w:tcW w:w="1120" w:type="dxa"/>
            <w:tcBorders>
              <w:top w:val="nil"/>
              <w:left w:val="nil"/>
              <w:bottom w:val="single" w:sz="4" w:space="0" w:color="auto"/>
              <w:right w:val="single" w:sz="4" w:space="0" w:color="auto"/>
            </w:tcBorders>
            <w:shd w:val="clear" w:color="auto" w:fill="auto"/>
            <w:noWrap/>
            <w:vAlign w:val="bottom"/>
            <w:hideMark/>
          </w:tcPr>
          <w:p w14:paraId="66DF0BAA" w14:textId="77777777" w:rsidR="003D38C6" w:rsidRPr="006875BA" w:rsidRDefault="003D38C6" w:rsidP="00460015">
            <w:pPr>
              <w:ind w:firstLineChars="100" w:firstLine="160"/>
              <w:jc w:val="right"/>
              <w:rPr>
                <w:rFonts w:ascii="Arial" w:eastAsia="Times New Roman" w:hAnsi="Arial" w:cs="Arial"/>
                <w:sz w:val="16"/>
                <w:szCs w:val="16"/>
              </w:rPr>
            </w:pPr>
            <w:r w:rsidRPr="006875BA">
              <w:rPr>
                <w:rFonts w:ascii="Arial" w:eastAsia="Times New Roman" w:hAnsi="Arial" w:cs="Arial"/>
                <w:sz w:val="16"/>
                <w:szCs w:val="16"/>
              </w:rPr>
              <w:t>$71.43</w:t>
            </w:r>
          </w:p>
        </w:tc>
      </w:tr>
      <w:tr w:rsidR="003D38C6" w:rsidRPr="006875BA" w14:paraId="68C1B72D" w14:textId="77777777" w:rsidTr="00460015">
        <w:trPr>
          <w:trHeight w:val="255"/>
        </w:trPr>
        <w:tc>
          <w:tcPr>
            <w:tcW w:w="1920" w:type="dxa"/>
            <w:tcBorders>
              <w:top w:val="nil"/>
              <w:left w:val="single" w:sz="4" w:space="0" w:color="auto"/>
              <w:bottom w:val="single" w:sz="4" w:space="0" w:color="auto"/>
              <w:right w:val="nil"/>
            </w:tcBorders>
            <w:shd w:val="clear" w:color="auto" w:fill="auto"/>
            <w:noWrap/>
            <w:vAlign w:val="bottom"/>
            <w:hideMark/>
          </w:tcPr>
          <w:p w14:paraId="512160E7" w14:textId="77777777" w:rsidR="003D38C6" w:rsidRPr="006875BA" w:rsidRDefault="003D38C6" w:rsidP="00460015">
            <w:pPr>
              <w:rPr>
                <w:rFonts w:ascii="Arial" w:eastAsia="Times New Roman" w:hAnsi="Arial" w:cs="Arial"/>
                <w:sz w:val="16"/>
                <w:szCs w:val="16"/>
              </w:rPr>
            </w:pPr>
            <w:r w:rsidRPr="006875BA">
              <w:rPr>
                <w:rFonts w:ascii="Arial" w:eastAsia="Times New Roman" w:hAnsi="Arial" w:cs="Arial"/>
                <w:sz w:val="16"/>
                <w:szCs w:val="16"/>
              </w:rPr>
              <w:t xml:space="preserve">10 </w:t>
            </w:r>
            <w:proofErr w:type="spellStart"/>
            <w:r w:rsidRPr="006875BA">
              <w:rPr>
                <w:rFonts w:ascii="Arial" w:eastAsia="Times New Roman" w:hAnsi="Arial" w:cs="Arial"/>
                <w:sz w:val="16"/>
                <w:szCs w:val="16"/>
              </w:rPr>
              <w:t>Yr</w:t>
            </w:r>
            <w:proofErr w:type="spellEnd"/>
            <w:r w:rsidRPr="006875BA">
              <w:rPr>
                <w:rFonts w:ascii="Arial" w:eastAsia="Times New Roman" w:hAnsi="Arial" w:cs="Arial"/>
                <w:sz w:val="16"/>
                <w:szCs w:val="16"/>
              </w:rPr>
              <w:t xml:space="preserve"> Average</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88F69E5" w14:textId="77777777" w:rsidR="003D38C6" w:rsidRPr="006875BA" w:rsidRDefault="003D38C6" w:rsidP="00460015">
            <w:pPr>
              <w:ind w:firstLineChars="100" w:firstLine="160"/>
              <w:jc w:val="right"/>
              <w:rPr>
                <w:rFonts w:ascii="Arial" w:eastAsia="Times New Roman" w:hAnsi="Arial" w:cs="Arial"/>
                <w:sz w:val="16"/>
                <w:szCs w:val="16"/>
              </w:rPr>
            </w:pPr>
            <w:r w:rsidRPr="006875BA">
              <w:rPr>
                <w:rFonts w:ascii="Arial" w:eastAsia="Times New Roman" w:hAnsi="Arial" w:cs="Arial"/>
                <w:sz w:val="16"/>
                <w:szCs w:val="16"/>
              </w:rPr>
              <w:t>$27.04</w:t>
            </w:r>
          </w:p>
        </w:tc>
        <w:tc>
          <w:tcPr>
            <w:tcW w:w="1020" w:type="dxa"/>
            <w:tcBorders>
              <w:top w:val="nil"/>
              <w:left w:val="nil"/>
              <w:bottom w:val="single" w:sz="4" w:space="0" w:color="auto"/>
              <w:right w:val="single" w:sz="4" w:space="0" w:color="auto"/>
            </w:tcBorders>
            <w:shd w:val="clear" w:color="auto" w:fill="auto"/>
            <w:noWrap/>
            <w:vAlign w:val="bottom"/>
            <w:hideMark/>
          </w:tcPr>
          <w:p w14:paraId="00DE1FDB" w14:textId="77777777" w:rsidR="003D38C6" w:rsidRPr="006875BA" w:rsidRDefault="003D38C6" w:rsidP="00460015">
            <w:pPr>
              <w:ind w:firstLineChars="100" w:firstLine="160"/>
              <w:jc w:val="right"/>
              <w:rPr>
                <w:rFonts w:ascii="Arial" w:eastAsia="Times New Roman" w:hAnsi="Arial" w:cs="Arial"/>
                <w:sz w:val="16"/>
                <w:szCs w:val="16"/>
              </w:rPr>
            </w:pPr>
            <w:r w:rsidRPr="006875BA">
              <w:rPr>
                <w:rFonts w:ascii="Arial" w:eastAsia="Times New Roman" w:hAnsi="Arial" w:cs="Arial"/>
                <w:sz w:val="16"/>
                <w:szCs w:val="16"/>
              </w:rPr>
              <w:t>$0.19</w:t>
            </w:r>
          </w:p>
        </w:tc>
        <w:tc>
          <w:tcPr>
            <w:tcW w:w="1020" w:type="dxa"/>
            <w:tcBorders>
              <w:top w:val="nil"/>
              <w:left w:val="nil"/>
              <w:bottom w:val="single" w:sz="4" w:space="0" w:color="auto"/>
              <w:right w:val="single" w:sz="4" w:space="0" w:color="auto"/>
            </w:tcBorders>
            <w:shd w:val="clear" w:color="auto" w:fill="auto"/>
            <w:noWrap/>
            <w:vAlign w:val="bottom"/>
            <w:hideMark/>
          </w:tcPr>
          <w:p w14:paraId="6478C7BC" w14:textId="77777777" w:rsidR="003D38C6" w:rsidRPr="006875BA" w:rsidRDefault="003D38C6" w:rsidP="00460015">
            <w:pPr>
              <w:ind w:firstLineChars="100" w:firstLine="160"/>
              <w:jc w:val="right"/>
              <w:rPr>
                <w:rFonts w:ascii="Arial" w:eastAsia="Times New Roman" w:hAnsi="Arial" w:cs="Arial"/>
                <w:sz w:val="16"/>
                <w:szCs w:val="16"/>
              </w:rPr>
            </w:pPr>
            <w:r w:rsidRPr="006875BA">
              <w:rPr>
                <w:rFonts w:ascii="Arial" w:eastAsia="Times New Roman" w:hAnsi="Arial" w:cs="Arial"/>
                <w:sz w:val="16"/>
                <w:szCs w:val="16"/>
              </w:rPr>
              <w:t>$10.58</w:t>
            </w:r>
          </w:p>
        </w:tc>
        <w:tc>
          <w:tcPr>
            <w:tcW w:w="1020" w:type="dxa"/>
            <w:tcBorders>
              <w:top w:val="nil"/>
              <w:left w:val="nil"/>
              <w:bottom w:val="single" w:sz="4" w:space="0" w:color="auto"/>
              <w:right w:val="single" w:sz="4" w:space="0" w:color="auto"/>
            </w:tcBorders>
            <w:shd w:val="clear" w:color="auto" w:fill="auto"/>
            <w:noWrap/>
            <w:vAlign w:val="bottom"/>
            <w:hideMark/>
          </w:tcPr>
          <w:p w14:paraId="08935377" w14:textId="77777777" w:rsidR="003D38C6" w:rsidRPr="006875BA" w:rsidRDefault="003D38C6" w:rsidP="00460015">
            <w:pPr>
              <w:ind w:firstLineChars="100" w:firstLine="160"/>
              <w:jc w:val="right"/>
              <w:rPr>
                <w:rFonts w:ascii="Arial" w:eastAsia="Times New Roman" w:hAnsi="Arial" w:cs="Arial"/>
                <w:sz w:val="16"/>
                <w:szCs w:val="16"/>
              </w:rPr>
            </w:pPr>
            <w:r w:rsidRPr="006875BA">
              <w:rPr>
                <w:rFonts w:ascii="Arial" w:eastAsia="Times New Roman" w:hAnsi="Arial" w:cs="Arial"/>
                <w:sz w:val="16"/>
                <w:szCs w:val="16"/>
              </w:rPr>
              <w:t>$30.78</w:t>
            </w:r>
          </w:p>
        </w:tc>
        <w:tc>
          <w:tcPr>
            <w:tcW w:w="1120" w:type="dxa"/>
            <w:tcBorders>
              <w:top w:val="nil"/>
              <w:left w:val="nil"/>
              <w:bottom w:val="single" w:sz="4" w:space="0" w:color="auto"/>
              <w:right w:val="single" w:sz="4" w:space="0" w:color="auto"/>
            </w:tcBorders>
            <w:shd w:val="clear" w:color="auto" w:fill="auto"/>
            <w:noWrap/>
            <w:vAlign w:val="bottom"/>
            <w:hideMark/>
          </w:tcPr>
          <w:p w14:paraId="16F5A4D8" w14:textId="77777777" w:rsidR="003D38C6" w:rsidRPr="006875BA" w:rsidRDefault="003D38C6" w:rsidP="00460015">
            <w:pPr>
              <w:ind w:firstLineChars="100" w:firstLine="160"/>
              <w:jc w:val="right"/>
              <w:rPr>
                <w:rFonts w:ascii="Arial" w:eastAsia="Times New Roman" w:hAnsi="Arial" w:cs="Arial"/>
                <w:sz w:val="16"/>
                <w:szCs w:val="16"/>
              </w:rPr>
            </w:pPr>
            <w:r w:rsidRPr="006875BA">
              <w:rPr>
                <w:rFonts w:ascii="Arial" w:eastAsia="Times New Roman" w:hAnsi="Arial" w:cs="Arial"/>
                <w:sz w:val="16"/>
                <w:szCs w:val="16"/>
              </w:rPr>
              <w:t>$69.71</w:t>
            </w:r>
          </w:p>
        </w:tc>
      </w:tr>
      <w:tr w:rsidR="003D38C6" w:rsidRPr="006875BA" w14:paraId="5F1DD492" w14:textId="77777777" w:rsidTr="00460015">
        <w:trPr>
          <w:trHeight w:val="255"/>
        </w:trPr>
        <w:tc>
          <w:tcPr>
            <w:tcW w:w="1920" w:type="dxa"/>
            <w:tcBorders>
              <w:top w:val="nil"/>
              <w:left w:val="single" w:sz="4" w:space="0" w:color="auto"/>
              <w:bottom w:val="single" w:sz="4" w:space="0" w:color="auto"/>
              <w:right w:val="nil"/>
            </w:tcBorders>
            <w:shd w:val="clear" w:color="auto" w:fill="auto"/>
            <w:noWrap/>
            <w:vAlign w:val="bottom"/>
            <w:hideMark/>
          </w:tcPr>
          <w:p w14:paraId="6A9D28D7" w14:textId="77777777" w:rsidR="003D38C6" w:rsidRPr="006875BA" w:rsidRDefault="003D38C6" w:rsidP="00460015">
            <w:pPr>
              <w:rPr>
                <w:rFonts w:ascii="Arial" w:eastAsia="Times New Roman" w:hAnsi="Arial" w:cs="Arial"/>
                <w:sz w:val="16"/>
                <w:szCs w:val="16"/>
              </w:rPr>
            </w:pPr>
            <w:r w:rsidRPr="006875BA">
              <w:rPr>
                <w:rFonts w:ascii="Arial" w:eastAsia="Times New Roman" w:hAnsi="Arial" w:cs="Arial"/>
                <w:sz w:val="16"/>
                <w:szCs w:val="16"/>
              </w:rPr>
              <w:t xml:space="preserve">15 </w:t>
            </w:r>
            <w:proofErr w:type="spellStart"/>
            <w:r w:rsidRPr="006875BA">
              <w:rPr>
                <w:rFonts w:ascii="Arial" w:eastAsia="Times New Roman" w:hAnsi="Arial" w:cs="Arial"/>
                <w:sz w:val="16"/>
                <w:szCs w:val="16"/>
              </w:rPr>
              <w:t>Yr</w:t>
            </w:r>
            <w:proofErr w:type="spellEnd"/>
            <w:r w:rsidRPr="006875BA">
              <w:rPr>
                <w:rFonts w:ascii="Arial" w:eastAsia="Times New Roman" w:hAnsi="Arial" w:cs="Arial"/>
                <w:sz w:val="16"/>
                <w:szCs w:val="16"/>
              </w:rPr>
              <w:t xml:space="preserve"> Average</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A34A4BC" w14:textId="77777777" w:rsidR="003D38C6" w:rsidRPr="006875BA" w:rsidRDefault="003D38C6" w:rsidP="00460015">
            <w:pPr>
              <w:ind w:firstLineChars="100" w:firstLine="160"/>
              <w:jc w:val="right"/>
              <w:rPr>
                <w:rFonts w:ascii="Arial" w:eastAsia="Times New Roman" w:hAnsi="Arial" w:cs="Arial"/>
                <w:sz w:val="16"/>
                <w:szCs w:val="16"/>
              </w:rPr>
            </w:pPr>
            <w:r w:rsidRPr="006875BA">
              <w:rPr>
                <w:rFonts w:ascii="Arial" w:eastAsia="Times New Roman" w:hAnsi="Arial" w:cs="Arial"/>
                <w:sz w:val="16"/>
                <w:szCs w:val="16"/>
              </w:rPr>
              <w:t>$31.07</w:t>
            </w:r>
          </w:p>
        </w:tc>
        <w:tc>
          <w:tcPr>
            <w:tcW w:w="1020" w:type="dxa"/>
            <w:tcBorders>
              <w:top w:val="nil"/>
              <w:left w:val="nil"/>
              <w:bottom w:val="single" w:sz="4" w:space="0" w:color="auto"/>
              <w:right w:val="single" w:sz="4" w:space="0" w:color="auto"/>
            </w:tcBorders>
            <w:shd w:val="clear" w:color="auto" w:fill="auto"/>
            <w:noWrap/>
            <w:vAlign w:val="bottom"/>
            <w:hideMark/>
          </w:tcPr>
          <w:p w14:paraId="40A097F7" w14:textId="77777777" w:rsidR="003D38C6" w:rsidRPr="006875BA" w:rsidRDefault="003D38C6" w:rsidP="00460015">
            <w:pPr>
              <w:ind w:firstLineChars="100" w:firstLine="160"/>
              <w:jc w:val="right"/>
              <w:rPr>
                <w:rFonts w:ascii="Arial" w:eastAsia="Times New Roman" w:hAnsi="Arial" w:cs="Arial"/>
                <w:sz w:val="16"/>
                <w:szCs w:val="16"/>
              </w:rPr>
            </w:pPr>
            <w:r w:rsidRPr="006875BA">
              <w:rPr>
                <w:rFonts w:ascii="Arial" w:eastAsia="Times New Roman" w:hAnsi="Arial" w:cs="Arial"/>
                <w:sz w:val="16"/>
                <w:szCs w:val="16"/>
              </w:rPr>
              <w:t>$0.16</w:t>
            </w:r>
          </w:p>
        </w:tc>
        <w:tc>
          <w:tcPr>
            <w:tcW w:w="1020" w:type="dxa"/>
            <w:tcBorders>
              <w:top w:val="nil"/>
              <w:left w:val="nil"/>
              <w:bottom w:val="single" w:sz="4" w:space="0" w:color="auto"/>
              <w:right w:val="single" w:sz="4" w:space="0" w:color="auto"/>
            </w:tcBorders>
            <w:shd w:val="clear" w:color="auto" w:fill="auto"/>
            <w:noWrap/>
            <w:vAlign w:val="bottom"/>
            <w:hideMark/>
          </w:tcPr>
          <w:p w14:paraId="6BF2A623" w14:textId="77777777" w:rsidR="003D38C6" w:rsidRPr="006875BA" w:rsidRDefault="003D38C6" w:rsidP="00460015">
            <w:pPr>
              <w:ind w:firstLineChars="100" w:firstLine="160"/>
              <w:jc w:val="right"/>
              <w:rPr>
                <w:rFonts w:ascii="Arial" w:eastAsia="Times New Roman" w:hAnsi="Arial" w:cs="Arial"/>
                <w:sz w:val="16"/>
                <w:szCs w:val="16"/>
              </w:rPr>
            </w:pPr>
            <w:r w:rsidRPr="006875BA">
              <w:rPr>
                <w:rFonts w:ascii="Arial" w:eastAsia="Times New Roman" w:hAnsi="Arial" w:cs="Arial"/>
                <w:sz w:val="16"/>
                <w:szCs w:val="16"/>
              </w:rPr>
              <w:t>$9.61</w:t>
            </w:r>
          </w:p>
        </w:tc>
        <w:tc>
          <w:tcPr>
            <w:tcW w:w="1020" w:type="dxa"/>
            <w:tcBorders>
              <w:top w:val="nil"/>
              <w:left w:val="nil"/>
              <w:bottom w:val="single" w:sz="4" w:space="0" w:color="auto"/>
              <w:right w:val="single" w:sz="4" w:space="0" w:color="auto"/>
            </w:tcBorders>
            <w:shd w:val="clear" w:color="auto" w:fill="auto"/>
            <w:noWrap/>
            <w:vAlign w:val="bottom"/>
            <w:hideMark/>
          </w:tcPr>
          <w:p w14:paraId="56DC6A86" w14:textId="77777777" w:rsidR="003D38C6" w:rsidRPr="006875BA" w:rsidRDefault="003D38C6" w:rsidP="00460015">
            <w:pPr>
              <w:ind w:firstLineChars="100" w:firstLine="160"/>
              <w:jc w:val="right"/>
              <w:rPr>
                <w:rFonts w:ascii="Arial" w:eastAsia="Times New Roman" w:hAnsi="Arial" w:cs="Arial"/>
                <w:sz w:val="16"/>
                <w:szCs w:val="16"/>
              </w:rPr>
            </w:pPr>
            <w:r w:rsidRPr="006875BA">
              <w:rPr>
                <w:rFonts w:ascii="Arial" w:eastAsia="Times New Roman" w:hAnsi="Arial" w:cs="Arial"/>
                <w:sz w:val="16"/>
                <w:szCs w:val="16"/>
              </w:rPr>
              <w:t>$21.27</w:t>
            </w:r>
          </w:p>
        </w:tc>
        <w:tc>
          <w:tcPr>
            <w:tcW w:w="1120" w:type="dxa"/>
            <w:tcBorders>
              <w:top w:val="nil"/>
              <w:left w:val="nil"/>
              <w:bottom w:val="single" w:sz="4" w:space="0" w:color="auto"/>
              <w:right w:val="single" w:sz="4" w:space="0" w:color="auto"/>
            </w:tcBorders>
            <w:shd w:val="clear" w:color="auto" w:fill="auto"/>
            <w:noWrap/>
            <w:vAlign w:val="bottom"/>
            <w:hideMark/>
          </w:tcPr>
          <w:p w14:paraId="60EF8067" w14:textId="77777777" w:rsidR="003D38C6" w:rsidRPr="006875BA" w:rsidRDefault="003D38C6" w:rsidP="00460015">
            <w:pPr>
              <w:ind w:firstLineChars="100" w:firstLine="160"/>
              <w:jc w:val="right"/>
              <w:rPr>
                <w:rFonts w:ascii="Arial" w:eastAsia="Times New Roman" w:hAnsi="Arial" w:cs="Arial"/>
                <w:sz w:val="16"/>
                <w:szCs w:val="16"/>
              </w:rPr>
            </w:pPr>
            <w:r w:rsidRPr="006875BA">
              <w:rPr>
                <w:rFonts w:ascii="Arial" w:eastAsia="Times New Roman" w:hAnsi="Arial" w:cs="Arial"/>
                <w:sz w:val="16"/>
                <w:szCs w:val="16"/>
              </w:rPr>
              <w:t>$63.86</w:t>
            </w:r>
          </w:p>
        </w:tc>
      </w:tr>
      <w:tr w:rsidR="003D38C6" w:rsidRPr="006875BA" w14:paraId="55085D69" w14:textId="77777777" w:rsidTr="00460015">
        <w:trPr>
          <w:trHeight w:val="255"/>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1670C720" w14:textId="77777777" w:rsidR="003D38C6" w:rsidRPr="006875BA" w:rsidRDefault="003D38C6" w:rsidP="00460015">
            <w:pPr>
              <w:rPr>
                <w:rFonts w:ascii="Arial" w:eastAsia="Times New Roman" w:hAnsi="Arial" w:cs="Arial"/>
                <w:sz w:val="16"/>
                <w:szCs w:val="16"/>
              </w:rPr>
            </w:pPr>
            <w:r w:rsidRPr="006875BA">
              <w:rPr>
                <w:rFonts w:ascii="Arial" w:eastAsia="Times New Roman" w:hAnsi="Arial" w:cs="Arial"/>
                <w:sz w:val="16"/>
                <w:szCs w:val="16"/>
              </w:rPr>
              <w:t xml:space="preserve">20 </w:t>
            </w:r>
            <w:proofErr w:type="spellStart"/>
            <w:r w:rsidRPr="006875BA">
              <w:rPr>
                <w:rFonts w:ascii="Arial" w:eastAsia="Times New Roman" w:hAnsi="Arial" w:cs="Arial"/>
                <w:sz w:val="16"/>
                <w:szCs w:val="16"/>
              </w:rPr>
              <w:t>Yr</w:t>
            </w:r>
            <w:proofErr w:type="spellEnd"/>
            <w:r w:rsidRPr="006875BA">
              <w:rPr>
                <w:rFonts w:ascii="Arial" w:eastAsia="Times New Roman" w:hAnsi="Arial" w:cs="Arial"/>
                <w:sz w:val="16"/>
                <w:szCs w:val="16"/>
              </w:rPr>
              <w:t xml:space="preserve"> Average</w:t>
            </w:r>
          </w:p>
        </w:tc>
        <w:tc>
          <w:tcPr>
            <w:tcW w:w="1120" w:type="dxa"/>
            <w:tcBorders>
              <w:top w:val="nil"/>
              <w:left w:val="nil"/>
              <w:bottom w:val="single" w:sz="4" w:space="0" w:color="auto"/>
              <w:right w:val="single" w:sz="4" w:space="0" w:color="auto"/>
            </w:tcBorders>
            <w:shd w:val="clear" w:color="auto" w:fill="auto"/>
            <w:noWrap/>
            <w:vAlign w:val="bottom"/>
            <w:hideMark/>
          </w:tcPr>
          <w:p w14:paraId="7F93C12E" w14:textId="77777777" w:rsidR="003D38C6" w:rsidRPr="006875BA" w:rsidRDefault="003D38C6" w:rsidP="00460015">
            <w:pPr>
              <w:ind w:firstLineChars="100" w:firstLine="160"/>
              <w:jc w:val="right"/>
              <w:rPr>
                <w:rFonts w:ascii="Arial" w:eastAsia="Times New Roman" w:hAnsi="Arial" w:cs="Arial"/>
                <w:sz w:val="16"/>
                <w:szCs w:val="16"/>
              </w:rPr>
            </w:pPr>
            <w:r w:rsidRPr="006875BA">
              <w:rPr>
                <w:rFonts w:ascii="Arial" w:eastAsia="Times New Roman" w:hAnsi="Arial" w:cs="Arial"/>
                <w:sz w:val="16"/>
                <w:szCs w:val="16"/>
              </w:rPr>
              <w:t>$34.92</w:t>
            </w:r>
          </w:p>
        </w:tc>
        <w:tc>
          <w:tcPr>
            <w:tcW w:w="1020" w:type="dxa"/>
            <w:tcBorders>
              <w:top w:val="nil"/>
              <w:left w:val="nil"/>
              <w:bottom w:val="single" w:sz="4" w:space="0" w:color="auto"/>
              <w:right w:val="single" w:sz="4" w:space="0" w:color="auto"/>
            </w:tcBorders>
            <w:shd w:val="clear" w:color="auto" w:fill="auto"/>
            <w:noWrap/>
            <w:vAlign w:val="bottom"/>
            <w:hideMark/>
          </w:tcPr>
          <w:p w14:paraId="62670881" w14:textId="77777777" w:rsidR="003D38C6" w:rsidRPr="006875BA" w:rsidRDefault="003D38C6" w:rsidP="00460015">
            <w:pPr>
              <w:ind w:firstLineChars="100" w:firstLine="160"/>
              <w:jc w:val="right"/>
              <w:rPr>
                <w:rFonts w:ascii="Arial" w:eastAsia="Times New Roman" w:hAnsi="Arial" w:cs="Arial"/>
                <w:sz w:val="16"/>
                <w:szCs w:val="16"/>
              </w:rPr>
            </w:pPr>
            <w:r w:rsidRPr="006875BA">
              <w:rPr>
                <w:rFonts w:ascii="Arial" w:eastAsia="Times New Roman" w:hAnsi="Arial" w:cs="Arial"/>
                <w:sz w:val="16"/>
                <w:szCs w:val="16"/>
              </w:rPr>
              <w:t>$0.14</w:t>
            </w:r>
          </w:p>
        </w:tc>
        <w:tc>
          <w:tcPr>
            <w:tcW w:w="1020" w:type="dxa"/>
            <w:tcBorders>
              <w:top w:val="nil"/>
              <w:left w:val="nil"/>
              <w:bottom w:val="single" w:sz="4" w:space="0" w:color="auto"/>
              <w:right w:val="single" w:sz="4" w:space="0" w:color="auto"/>
            </w:tcBorders>
            <w:shd w:val="clear" w:color="auto" w:fill="auto"/>
            <w:noWrap/>
            <w:vAlign w:val="bottom"/>
            <w:hideMark/>
          </w:tcPr>
          <w:p w14:paraId="25BE3460" w14:textId="77777777" w:rsidR="003D38C6" w:rsidRPr="006875BA" w:rsidRDefault="003D38C6" w:rsidP="00460015">
            <w:pPr>
              <w:ind w:firstLineChars="100" w:firstLine="160"/>
              <w:jc w:val="right"/>
              <w:rPr>
                <w:rFonts w:ascii="Arial" w:eastAsia="Times New Roman" w:hAnsi="Arial" w:cs="Arial"/>
                <w:sz w:val="16"/>
                <w:szCs w:val="16"/>
              </w:rPr>
            </w:pPr>
            <w:r w:rsidRPr="006875BA">
              <w:rPr>
                <w:rFonts w:ascii="Arial" w:eastAsia="Times New Roman" w:hAnsi="Arial" w:cs="Arial"/>
                <w:sz w:val="16"/>
                <w:szCs w:val="16"/>
              </w:rPr>
              <w:t>$8.29</w:t>
            </w:r>
          </w:p>
        </w:tc>
        <w:tc>
          <w:tcPr>
            <w:tcW w:w="1020" w:type="dxa"/>
            <w:tcBorders>
              <w:top w:val="nil"/>
              <w:left w:val="nil"/>
              <w:bottom w:val="single" w:sz="4" w:space="0" w:color="auto"/>
              <w:right w:val="single" w:sz="4" w:space="0" w:color="auto"/>
            </w:tcBorders>
            <w:shd w:val="clear" w:color="auto" w:fill="auto"/>
            <w:noWrap/>
            <w:vAlign w:val="bottom"/>
            <w:hideMark/>
          </w:tcPr>
          <w:p w14:paraId="0CEC15DA" w14:textId="77777777" w:rsidR="003D38C6" w:rsidRPr="006875BA" w:rsidRDefault="003D38C6" w:rsidP="00460015">
            <w:pPr>
              <w:ind w:firstLineChars="100" w:firstLine="160"/>
              <w:jc w:val="right"/>
              <w:rPr>
                <w:rFonts w:ascii="Arial" w:eastAsia="Times New Roman" w:hAnsi="Arial" w:cs="Arial"/>
                <w:sz w:val="16"/>
                <w:szCs w:val="16"/>
              </w:rPr>
            </w:pPr>
            <w:r w:rsidRPr="006875BA">
              <w:rPr>
                <w:rFonts w:ascii="Arial" w:eastAsia="Times New Roman" w:hAnsi="Arial" w:cs="Arial"/>
                <w:sz w:val="16"/>
                <w:szCs w:val="16"/>
              </w:rPr>
              <w:t>$16.20</w:t>
            </w:r>
          </w:p>
        </w:tc>
        <w:tc>
          <w:tcPr>
            <w:tcW w:w="1120" w:type="dxa"/>
            <w:tcBorders>
              <w:top w:val="nil"/>
              <w:left w:val="nil"/>
              <w:bottom w:val="single" w:sz="4" w:space="0" w:color="auto"/>
              <w:right w:val="single" w:sz="4" w:space="0" w:color="auto"/>
            </w:tcBorders>
            <w:shd w:val="clear" w:color="auto" w:fill="auto"/>
            <w:noWrap/>
            <w:vAlign w:val="bottom"/>
            <w:hideMark/>
          </w:tcPr>
          <w:p w14:paraId="580F10E7" w14:textId="77777777" w:rsidR="003D38C6" w:rsidRPr="006875BA" w:rsidRDefault="003D38C6" w:rsidP="00460015">
            <w:pPr>
              <w:ind w:firstLineChars="100" w:firstLine="160"/>
              <w:jc w:val="right"/>
              <w:rPr>
                <w:rFonts w:ascii="Arial" w:eastAsia="Times New Roman" w:hAnsi="Arial" w:cs="Arial"/>
                <w:sz w:val="16"/>
                <w:szCs w:val="16"/>
              </w:rPr>
            </w:pPr>
            <w:r w:rsidRPr="006875BA">
              <w:rPr>
                <w:rFonts w:ascii="Arial" w:eastAsia="Times New Roman" w:hAnsi="Arial" w:cs="Arial"/>
                <w:sz w:val="16"/>
                <w:szCs w:val="16"/>
              </w:rPr>
              <w:t>$60.84</w:t>
            </w:r>
          </w:p>
        </w:tc>
      </w:tr>
      <w:tr w:rsidR="003D38C6" w:rsidRPr="006875BA" w14:paraId="11752540" w14:textId="77777777" w:rsidTr="00460015">
        <w:trPr>
          <w:trHeight w:val="255"/>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3CF469C6" w14:textId="77777777" w:rsidR="003D38C6" w:rsidRPr="006875BA" w:rsidRDefault="003D38C6" w:rsidP="00460015">
            <w:pPr>
              <w:rPr>
                <w:rFonts w:ascii="Arial" w:eastAsia="Times New Roman" w:hAnsi="Arial" w:cs="Arial"/>
                <w:sz w:val="16"/>
                <w:szCs w:val="16"/>
              </w:rPr>
            </w:pPr>
            <w:r w:rsidRPr="006875BA">
              <w:rPr>
                <w:rFonts w:ascii="Arial" w:eastAsia="Times New Roman" w:hAnsi="Arial" w:cs="Arial"/>
                <w:sz w:val="16"/>
                <w:szCs w:val="16"/>
              </w:rPr>
              <w:t xml:space="preserve">25 </w:t>
            </w:r>
            <w:proofErr w:type="spellStart"/>
            <w:r w:rsidRPr="006875BA">
              <w:rPr>
                <w:rFonts w:ascii="Arial" w:eastAsia="Times New Roman" w:hAnsi="Arial" w:cs="Arial"/>
                <w:sz w:val="16"/>
                <w:szCs w:val="16"/>
              </w:rPr>
              <w:t>Yr</w:t>
            </w:r>
            <w:proofErr w:type="spellEnd"/>
            <w:r w:rsidRPr="006875BA">
              <w:rPr>
                <w:rFonts w:ascii="Arial" w:eastAsia="Times New Roman" w:hAnsi="Arial" w:cs="Arial"/>
                <w:sz w:val="16"/>
                <w:szCs w:val="16"/>
              </w:rPr>
              <w:t xml:space="preserve"> Average</w:t>
            </w:r>
          </w:p>
        </w:tc>
        <w:tc>
          <w:tcPr>
            <w:tcW w:w="1120" w:type="dxa"/>
            <w:tcBorders>
              <w:top w:val="nil"/>
              <w:left w:val="nil"/>
              <w:bottom w:val="single" w:sz="4" w:space="0" w:color="auto"/>
              <w:right w:val="single" w:sz="4" w:space="0" w:color="auto"/>
            </w:tcBorders>
            <w:shd w:val="clear" w:color="auto" w:fill="auto"/>
            <w:noWrap/>
            <w:vAlign w:val="bottom"/>
            <w:hideMark/>
          </w:tcPr>
          <w:p w14:paraId="078AA899" w14:textId="77777777" w:rsidR="003D38C6" w:rsidRPr="006875BA" w:rsidRDefault="003D38C6" w:rsidP="00460015">
            <w:pPr>
              <w:ind w:firstLineChars="100" w:firstLine="160"/>
              <w:jc w:val="right"/>
              <w:rPr>
                <w:rFonts w:ascii="Arial" w:eastAsia="Times New Roman" w:hAnsi="Arial" w:cs="Arial"/>
                <w:sz w:val="16"/>
                <w:szCs w:val="16"/>
              </w:rPr>
            </w:pPr>
            <w:r w:rsidRPr="006875BA">
              <w:rPr>
                <w:rFonts w:ascii="Arial" w:eastAsia="Times New Roman" w:hAnsi="Arial" w:cs="Arial"/>
                <w:sz w:val="16"/>
                <w:szCs w:val="16"/>
              </w:rPr>
              <w:t>$37.65</w:t>
            </w:r>
          </w:p>
        </w:tc>
        <w:tc>
          <w:tcPr>
            <w:tcW w:w="1020" w:type="dxa"/>
            <w:tcBorders>
              <w:top w:val="nil"/>
              <w:left w:val="nil"/>
              <w:bottom w:val="single" w:sz="4" w:space="0" w:color="auto"/>
              <w:right w:val="single" w:sz="4" w:space="0" w:color="auto"/>
            </w:tcBorders>
            <w:shd w:val="clear" w:color="auto" w:fill="auto"/>
            <w:noWrap/>
            <w:vAlign w:val="bottom"/>
            <w:hideMark/>
          </w:tcPr>
          <w:p w14:paraId="6D72BCFC" w14:textId="77777777" w:rsidR="003D38C6" w:rsidRPr="006875BA" w:rsidRDefault="003D38C6" w:rsidP="00460015">
            <w:pPr>
              <w:ind w:firstLineChars="100" w:firstLine="160"/>
              <w:jc w:val="right"/>
              <w:rPr>
                <w:rFonts w:ascii="Arial" w:eastAsia="Times New Roman" w:hAnsi="Arial" w:cs="Arial"/>
                <w:sz w:val="16"/>
                <w:szCs w:val="16"/>
              </w:rPr>
            </w:pPr>
            <w:r w:rsidRPr="006875BA">
              <w:rPr>
                <w:rFonts w:ascii="Arial" w:eastAsia="Times New Roman" w:hAnsi="Arial" w:cs="Arial"/>
                <w:sz w:val="16"/>
                <w:szCs w:val="16"/>
              </w:rPr>
              <w:t>$0.14</w:t>
            </w:r>
          </w:p>
        </w:tc>
        <w:tc>
          <w:tcPr>
            <w:tcW w:w="1020" w:type="dxa"/>
            <w:tcBorders>
              <w:top w:val="nil"/>
              <w:left w:val="nil"/>
              <w:bottom w:val="single" w:sz="4" w:space="0" w:color="auto"/>
              <w:right w:val="single" w:sz="4" w:space="0" w:color="auto"/>
            </w:tcBorders>
            <w:shd w:val="clear" w:color="auto" w:fill="auto"/>
            <w:noWrap/>
            <w:vAlign w:val="bottom"/>
            <w:hideMark/>
          </w:tcPr>
          <w:p w14:paraId="65C913B8" w14:textId="77777777" w:rsidR="003D38C6" w:rsidRPr="006875BA" w:rsidRDefault="003D38C6" w:rsidP="00460015">
            <w:pPr>
              <w:ind w:firstLineChars="100" w:firstLine="160"/>
              <w:jc w:val="right"/>
              <w:rPr>
                <w:rFonts w:ascii="Arial" w:eastAsia="Times New Roman" w:hAnsi="Arial" w:cs="Arial"/>
                <w:sz w:val="16"/>
                <w:szCs w:val="16"/>
              </w:rPr>
            </w:pPr>
            <w:r w:rsidRPr="006875BA">
              <w:rPr>
                <w:rFonts w:ascii="Arial" w:eastAsia="Times New Roman" w:hAnsi="Arial" w:cs="Arial"/>
                <w:sz w:val="16"/>
                <w:szCs w:val="16"/>
              </w:rPr>
              <w:t>$7.02</w:t>
            </w:r>
          </w:p>
        </w:tc>
        <w:tc>
          <w:tcPr>
            <w:tcW w:w="1020" w:type="dxa"/>
            <w:tcBorders>
              <w:top w:val="nil"/>
              <w:left w:val="nil"/>
              <w:bottom w:val="single" w:sz="4" w:space="0" w:color="auto"/>
              <w:right w:val="single" w:sz="4" w:space="0" w:color="auto"/>
            </w:tcBorders>
            <w:shd w:val="clear" w:color="auto" w:fill="auto"/>
            <w:noWrap/>
            <w:vAlign w:val="bottom"/>
            <w:hideMark/>
          </w:tcPr>
          <w:p w14:paraId="6E066391" w14:textId="77777777" w:rsidR="003D38C6" w:rsidRPr="006875BA" w:rsidRDefault="003D38C6" w:rsidP="00460015">
            <w:pPr>
              <w:ind w:firstLineChars="100" w:firstLine="160"/>
              <w:jc w:val="right"/>
              <w:rPr>
                <w:rFonts w:ascii="Arial" w:eastAsia="Times New Roman" w:hAnsi="Arial" w:cs="Arial"/>
                <w:sz w:val="16"/>
                <w:szCs w:val="16"/>
              </w:rPr>
            </w:pPr>
            <w:r w:rsidRPr="006875BA">
              <w:rPr>
                <w:rFonts w:ascii="Arial" w:eastAsia="Times New Roman" w:hAnsi="Arial" w:cs="Arial"/>
                <w:sz w:val="16"/>
                <w:szCs w:val="16"/>
              </w:rPr>
              <w:t>$15.10</w:t>
            </w:r>
          </w:p>
        </w:tc>
        <w:tc>
          <w:tcPr>
            <w:tcW w:w="1120" w:type="dxa"/>
            <w:tcBorders>
              <w:top w:val="nil"/>
              <w:left w:val="nil"/>
              <w:bottom w:val="single" w:sz="4" w:space="0" w:color="auto"/>
              <w:right w:val="single" w:sz="4" w:space="0" w:color="auto"/>
            </w:tcBorders>
            <w:shd w:val="clear" w:color="auto" w:fill="auto"/>
            <w:noWrap/>
            <w:vAlign w:val="bottom"/>
            <w:hideMark/>
          </w:tcPr>
          <w:p w14:paraId="062696D5" w14:textId="77777777" w:rsidR="003D38C6" w:rsidRPr="006875BA" w:rsidRDefault="003D38C6" w:rsidP="00460015">
            <w:pPr>
              <w:ind w:firstLineChars="100" w:firstLine="160"/>
              <w:jc w:val="right"/>
              <w:rPr>
                <w:rFonts w:ascii="Arial" w:eastAsia="Times New Roman" w:hAnsi="Arial" w:cs="Arial"/>
                <w:sz w:val="16"/>
                <w:szCs w:val="16"/>
              </w:rPr>
            </w:pPr>
            <w:r w:rsidRPr="006875BA">
              <w:rPr>
                <w:rFonts w:ascii="Arial" w:eastAsia="Times New Roman" w:hAnsi="Arial" w:cs="Arial"/>
                <w:sz w:val="16"/>
                <w:szCs w:val="16"/>
              </w:rPr>
              <w:t>$61.06</w:t>
            </w:r>
          </w:p>
        </w:tc>
      </w:tr>
      <w:tr w:rsidR="003D38C6" w:rsidRPr="006875BA" w14:paraId="43D48793" w14:textId="77777777" w:rsidTr="00460015">
        <w:trPr>
          <w:trHeight w:val="255"/>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5622C0BF" w14:textId="77777777" w:rsidR="003D38C6" w:rsidRPr="006875BA" w:rsidRDefault="003D38C6" w:rsidP="00460015">
            <w:pPr>
              <w:rPr>
                <w:rFonts w:ascii="Arial" w:eastAsia="Times New Roman" w:hAnsi="Arial" w:cs="Arial"/>
                <w:sz w:val="16"/>
                <w:szCs w:val="16"/>
              </w:rPr>
            </w:pPr>
            <w:r w:rsidRPr="006875BA">
              <w:rPr>
                <w:rFonts w:ascii="Arial" w:eastAsia="Times New Roman" w:hAnsi="Arial" w:cs="Arial"/>
                <w:sz w:val="16"/>
                <w:szCs w:val="16"/>
              </w:rPr>
              <w:t xml:space="preserve">30 </w:t>
            </w:r>
            <w:proofErr w:type="spellStart"/>
            <w:r w:rsidRPr="006875BA">
              <w:rPr>
                <w:rFonts w:ascii="Arial" w:eastAsia="Times New Roman" w:hAnsi="Arial" w:cs="Arial"/>
                <w:sz w:val="16"/>
                <w:szCs w:val="16"/>
              </w:rPr>
              <w:t>Yr</w:t>
            </w:r>
            <w:proofErr w:type="spellEnd"/>
            <w:r w:rsidRPr="006875BA">
              <w:rPr>
                <w:rFonts w:ascii="Arial" w:eastAsia="Times New Roman" w:hAnsi="Arial" w:cs="Arial"/>
                <w:sz w:val="16"/>
                <w:szCs w:val="16"/>
              </w:rPr>
              <w:t xml:space="preserve"> Average</w:t>
            </w:r>
          </w:p>
        </w:tc>
        <w:tc>
          <w:tcPr>
            <w:tcW w:w="1120" w:type="dxa"/>
            <w:tcBorders>
              <w:top w:val="nil"/>
              <w:left w:val="nil"/>
              <w:bottom w:val="single" w:sz="4" w:space="0" w:color="auto"/>
              <w:right w:val="single" w:sz="4" w:space="0" w:color="auto"/>
            </w:tcBorders>
            <w:shd w:val="clear" w:color="auto" w:fill="auto"/>
            <w:noWrap/>
            <w:vAlign w:val="bottom"/>
            <w:hideMark/>
          </w:tcPr>
          <w:p w14:paraId="0E493795" w14:textId="77777777" w:rsidR="003D38C6" w:rsidRPr="006875BA" w:rsidRDefault="003D38C6" w:rsidP="00460015">
            <w:pPr>
              <w:ind w:firstLineChars="100" w:firstLine="160"/>
              <w:jc w:val="right"/>
              <w:rPr>
                <w:rFonts w:ascii="Arial" w:eastAsia="Times New Roman" w:hAnsi="Arial" w:cs="Arial"/>
                <w:sz w:val="16"/>
                <w:szCs w:val="16"/>
              </w:rPr>
            </w:pPr>
            <w:r w:rsidRPr="006875BA">
              <w:rPr>
                <w:rFonts w:ascii="Arial" w:eastAsia="Times New Roman" w:hAnsi="Arial" w:cs="Arial"/>
                <w:sz w:val="16"/>
                <w:szCs w:val="16"/>
              </w:rPr>
              <w:t>$39.95</w:t>
            </w:r>
          </w:p>
        </w:tc>
        <w:tc>
          <w:tcPr>
            <w:tcW w:w="1020" w:type="dxa"/>
            <w:tcBorders>
              <w:top w:val="nil"/>
              <w:left w:val="nil"/>
              <w:bottom w:val="single" w:sz="4" w:space="0" w:color="auto"/>
              <w:right w:val="single" w:sz="4" w:space="0" w:color="auto"/>
            </w:tcBorders>
            <w:shd w:val="clear" w:color="auto" w:fill="auto"/>
            <w:noWrap/>
            <w:vAlign w:val="bottom"/>
            <w:hideMark/>
          </w:tcPr>
          <w:p w14:paraId="29E5FA97" w14:textId="77777777" w:rsidR="003D38C6" w:rsidRPr="006875BA" w:rsidRDefault="003D38C6" w:rsidP="00460015">
            <w:pPr>
              <w:ind w:firstLineChars="100" w:firstLine="160"/>
              <w:jc w:val="right"/>
              <w:rPr>
                <w:rFonts w:ascii="Arial" w:eastAsia="Times New Roman" w:hAnsi="Arial" w:cs="Arial"/>
                <w:sz w:val="16"/>
                <w:szCs w:val="16"/>
              </w:rPr>
            </w:pPr>
            <w:r w:rsidRPr="006875BA">
              <w:rPr>
                <w:rFonts w:ascii="Arial" w:eastAsia="Times New Roman" w:hAnsi="Arial" w:cs="Arial"/>
                <w:sz w:val="16"/>
                <w:szCs w:val="16"/>
              </w:rPr>
              <w:t>$0.16</w:t>
            </w:r>
          </w:p>
        </w:tc>
        <w:tc>
          <w:tcPr>
            <w:tcW w:w="1020" w:type="dxa"/>
            <w:tcBorders>
              <w:top w:val="nil"/>
              <w:left w:val="nil"/>
              <w:bottom w:val="single" w:sz="4" w:space="0" w:color="auto"/>
              <w:right w:val="single" w:sz="4" w:space="0" w:color="auto"/>
            </w:tcBorders>
            <w:shd w:val="clear" w:color="auto" w:fill="auto"/>
            <w:noWrap/>
            <w:vAlign w:val="bottom"/>
            <w:hideMark/>
          </w:tcPr>
          <w:p w14:paraId="76CB33D1" w14:textId="77777777" w:rsidR="003D38C6" w:rsidRPr="006875BA" w:rsidRDefault="003D38C6" w:rsidP="00460015">
            <w:pPr>
              <w:ind w:firstLineChars="100" w:firstLine="160"/>
              <w:jc w:val="right"/>
              <w:rPr>
                <w:rFonts w:ascii="Arial" w:eastAsia="Times New Roman" w:hAnsi="Arial" w:cs="Arial"/>
                <w:sz w:val="16"/>
                <w:szCs w:val="16"/>
              </w:rPr>
            </w:pPr>
            <w:r w:rsidRPr="006875BA">
              <w:rPr>
                <w:rFonts w:ascii="Arial" w:eastAsia="Times New Roman" w:hAnsi="Arial" w:cs="Arial"/>
                <w:sz w:val="16"/>
                <w:szCs w:val="16"/>
              </w:rPr>
              <w:t>$6.38</w:t>
            </w:r>
          </w:p>
        </w:tc>
        <w:tc>
          <w:tcPr>
            <w:tcW w:w="1020" w:type="dxa"/>
            <w:tcBorders>
              <w:top w:val="nil"/>
              <w:left w:val="nil"/>
              <w:bottom w:val="single" w:sz="4" w:space="0" w:color="auto"/>
              <w:right w:val="single" w:sz="4" w:space="0" w:color="auto"/>
            </w:tcBorders>
            <w:shd w:val="clear" w:color="auto" w:fill="auto"/>
            <w:noWrap/>
            <w:vAlign w:val="bottom"/>
            <w:hideMark/>
          </w:tcPr>
          <w:p w14:paraId="6C8FC545" w14:textId="77777777" w:rsidR="003D38C6" w:rsidRPr="006875BA" w:rsidRDefault="003D38C6" w:rsidP="00460015">
            <w:pPr>
              <w:ind w:firstLineChars="100" w:firstLine="160"/>
              <w:jc w:val="right"/>
              <w:rPr>
                <w:rFonts w:ascii="Arial" w:eastAsia="Times New Roman" w:hAnsi="Arial" w:cs="Arial"/>
                <w:sz w:val="16"/>
                <w:szCs w:val="16"/>
              </w:rPr>
            </w:pPr>
            <w:r w:rsidRPr="006875BA">
              <w:rPr>
                <w:rFonts w:ascii="Arial" w:eastAsia="Times New Roman" w:hAnsi="Arial" w:cs="Arial"/>
                <w:sz w:val="16"/>
                <w:szCs w:val="16"/>
              </w:rPr>
              <w:t>$13.66</w:t>
            </w:r>
          </w:p>
        </w:tc>
        <w:tc>
          <w:tcPr>
            <w:tcW w:w="1120" w:type="dxa"/>
            <w:tcBorders>
              <w:top w:val="nil"/>
              <w:left w:val="nil"/>
              <w:bottom w:val="single" w:sz="4" w:space="0" w:color="auto"/>
              <w:right w:val="single" w:sz="4" w:space="0" w:color="auto"/>
            </w:tcBorders>
            <w:shd w:val="clear" w:color="auto" w:fill="auto"/>
            <w:noWrap/>
            <w:vAlign w:val="bottom"/>
            <w:hideMark/>
          </w:tcPr>
          <w:p w14:paraId="628FDB14" w14:textId="77777777" w:rsidR="003D38C6" w:rsidRPr="006875BA" w:rsidRDefault="003D38C6" w:rsidP="00460015">
            <w:pPr>
              <w:ind w:firstLineChars="100" w:firstLine="160"/>
              <w:jc w:val="right"/>
              <w:rPr>
                <w:rFonts w:ascii="Arial" w:eastAsia="Times New Roman" w:hAnsi="Arial" w:cs="Arial"/>
                <w:sz w:val="16"/>
                <w:szCs w:val="16"/>
              </w:rPr>
            </w:pPr>
            <w:r w:rsidRPr="006875BA">
              <w:rPr>
                <w:rFonts w:ascii="Arial" w:eastAsia="Times New Roman" w:hAnsi="Arial" w:cs="Arial"/>
                <w:sz w:val="16"/>
                <w:szCs w:val="16"/>
              </w:rPr>
              <w:t>$60.15</w:t>
            </w:r>
          </w:p>
        </w:tc>
      </w:tr>
      <w:tr w:rsidR="003D38C6" w:rsidRPr="006875BA" w14:paraId="7CBA8010" w14:textId="77777777" w:rsidTr="00460015">
        <w:trPr>
          <w:trHeight w:val="255"/>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4B61EF2A" w14:textId="77777777" w:rsidR="003D38C6" w:rsidRPr="006875BA" w:rsidRDefault="003D38C6" w:rsidP="00460015">
            <w:pPr>
              <w:rPr>
                <w:rFonts w:ascii="Arial" w:eastAsia="Times New Roman" w:hAnsi="Arial" w:cs="Arial"/>
                <w:sz w:val="16"/>
                <w:szCs w:val="16"/>
              </w:rPr>
            </w:pPr>
            <w:r w:rsidRPr="006875BA">
              <w:rPr>
                <w:rFonts w:ascii="Arial" w:eastAsia="Times New Roman" w:hAnsi="Arial" w:cs="Arial"/>
                <w:sz w:val="16"/>
                <w:szCs w:val="16"/>
              </w:rPr>
              <w:t>Avg Since Inception</w:t>
            </w:r>
          </w:p>
        </w:tc>
        <w:tc>
          <w:tcPr>
            <w:tcW w:w="1120" w:type="dxa"/>
            <w:tcBorders>
              <w:top w:val="nil"/>
              <w:left w:val="nil"/>
              <w:bottom w:val="single" w:sz="4" w:space="0" w:color="auto"/>
              <w:right w:val="single" w:sz="4" w:space="0" w:color="auto"/>
            </w:tcBorders>
            <w:shd w:val="clear" w:color="auto" w:fill="auto"/>
            <w:noWrap/>
            <w:vAlign w:val="bottom"/>
            <w:hideMark/>
          </w:tcPr>
          <w:p w14:paraId="0720F328" w14:textId="77777777" w:rsidR="003D38C6" w:rsidRPr="006875BA" w:rsidRDefault="003D38C6" w:rsidP="00460015">
            <w:pPr>
              <w:ind w:firstLineChars="100" w:firstLine="160"/>
              <w:jc w:val="right"/>
              <w:rPr>
                <w:rFonts w:ascii="Arial" w:eastAsia="Times New Roman" w:hAnsi="Arial" w:cs="Arial"/>
                <w:sz w:val="16"/>
                <w:szCs w:val="16"/>
              </w:rPr>
            </w:pPr>
            <w:r w:rsidRPr="006875BA">
              <w:rPr>
                <w:rFonts w:ascii="Arial" w:eastAsia="Times New Roman" w:hAnsi="Arial" w:cs="Arial"/>
                <w:sz w:val="16"/>
                <w:szCs w:val="16"/>
              </w:rPr>
              <w:t>$40.74</w:t>
            </w:r>
          </w:p>
        </w:tc>
        <w:tc>
          <w:tcPr>
            <w:tcW w:w="1020" w:type="dxa"/>
            <w:tcBorders>
              <w:top w:val="nil"/>
              <w:left w:val="nil"/>
              <w:bottom w:val="single" w:sz="4" w:space="0" w:color="auto"/>
              <w:right w:val="single" w:sz="4" w:space="0" w:color="auto"/>
            </w:tcBorders>
            <w:shd w:val="clear" w:color="auto" w:fill="auto"/>
            <w:noWrap/>
            <w:vAlign w:val="bottom"/>
            <w:hideMark/>
          </w:tcPr>
          <w:p w14:paraId="161CF14B" w14:textId="77777777" w:rsidR="003D38C6" w:rsidRPr="006875BA" w:rsidRDefault="003D38C6" w:rsidP="00460015">
            <w:pPr>
              <w:ind w:firstLineChars="100" w:firstLine="160"/>
              <w:jc w:val="right"/>
              <w:rPr>
                <w:rFonts w:ascii="Arial" w:eastAsia="Times New Roman" w:hAnsi="Arial" w:cs="Arial"/>
                <w:sz w:val="16"/>
                <w:szCs w:val="16"/>
              </w:rPr>
            </w:pPr>
            <w:r w:rsidRPr="006875BA">
              <w:rPr>
                <w:rFonts w:ascii="Arial" w:eastAsia="Times New Roman" w:hAnsi="Arial" w:cs="Arial"/>
                <w:sz w:val="16"/>
                <w:szCs w:val="16"/>
              </w:rPr>
              <w:t>$0.13</w:t>
            </w:r>
          </w:p>
        </w:tc>
        <w:tc>
          <w:tcPr>
            <w:tcW w:w="1020" w:type="dxa"/>
            <w:tcBorders>
              <w:top w:val="nil"/>
              <w:left w:val="nil"/>
              <w:bottom w:val="single" w:sz="4" w:space="0" w:color="auto"/>
              <w:right w:val="single" w:sz="4" w:space="0" w:color="auto"/>
            </w:tcBorders>
            <w:shd w:val="clear" w:color="auto" w:fill="auto"/>
            <w:noWrap/>
            <w:vAlign w:val="bottom"/>
            <w:hideMark/>
          </w:tcPr>
          <w:p w14:paraId="6F6180B7" w14:textId="77777777" w:rsidR="003D38C6" w:rsidRPr="006875BA" w:rsidRDefault="003D38C6" w:rsidP="00460015">
            <w:pPr>
              <w:ind w:firstLineChars="100" w:firstLine="160"/>
              <w:jc w:val="right"/>
              <w:rPr>
                <w:rFonts w:ascii="Arial" w:eastAsia="Times New Roman" w:hAnsi="Arial" w:cs="Arial"/>
                <w:sz w:val="16"/>
                <w:szCs w:val="16"/>
              </w:rPr>
            </w:pPr>
            <w:r w:rsidRPr="006875BA">
              <w:rPr>
                <w:rFonts w:ascii="Arial" w:eastAsia="Times New Roman" w:hAnsi="Arial" w:cs="Arial"/>
                <w:sz w:val="16"/>
                <w:szCs w:val="16"/>
              </w:rPr>
              <w:t>$5.08</w:t>
            </w:r>
          </w:p>
        </w:tc>
        <w:tc>
          <w:tcPr>
            <w:tcW w:w="1020" w:type="dxa"/>
            <w:tcBorders>
              <w:top w:val="nil"/>
              <w:left w:val="nil"/>
              <w:bottom w:val="single" w:sz="4" w:space="0" w:color="auto"/>
              <w:right w:val="single" w:sz="4" w:space="0" w:color="auto"/>
            </w:tcBorders>
            <w:shd w:val="clear" w:color="auto" w:fill="auto"/>
            <w:noWrap/>
            <w:vAlign w:val="bottom"/>
            <w:hideMark/>
          </w:tcPr>
          <w:p w14:paraId="0A93EEB6" w14:textId="77777777" w:rsidR="003D38C6" w:rsidRPr="006875BA" w:rsidRDefault="003D38C6" w:rsidP="00460015">
            <w:pPr>
              <w:ind w:firstLineChars="100" w:firstLine="160"/>
              <w:jc w:val="right"/>
              <w:rPr>
                <w:rFonts w:ascii="Arial" w:eastAsia="Times New Roman" w:hAnsi="Arial" w:cs="Arial"/>
                <w:sz w:val="16"/>
                <w:szCs w:val="16"/>
              </w:rPr>
            </w:pPr>
            <w:r w:rsidRPr="006875BA">
              <w:rPr>
                <w:rFonts w:ascii="Arial" w:eastAsia="Times New Roman" w:hAnsi="Arial" w:cs="Arial"/>
                <w:sz w:val="16"/>
                <w:szCs w:val="16"/>
              </w:rPr>
              <w:t>$11.70</w:t>
            </w:r>
          </w:p>
        </w:tc>
        <w:tc>
          <w:tcPr>
            <w:tcW w:w="1120" w:type="dxa"/>
            <w:tcBorders>
              <w:top w:val="nil"/>
              <w:left w:val="nil"/>
              <w:bottom w:val="single" w:sz="4" w:space="0" w:color="auto"/>
              <w:right w:val="single" w:sz="4" w:space="0" w:color="auto"/>
            </w:tcBorders>
            <w:shd w:val="clear" w:color="auto" w:fill="auto"/>
            <w:noWrap/>
            <w:vAlign w:val="bottom"/>
            <w:hideMark/>
          </w:tcPr>
          <w:p w14:paraId="683963E7" w14:textId="77777777" w:rsidR="003D38C6" w:rsidRPr="006875BA" w:rsidRDefault="003D38C6" w:rsidP="00460015">
            <w:pPr>
              <w:ind w:firstLineChars="100" w:firstLine="160"/>
              <w:jc w:val="right"/>
              <w:rPr>
                <w:rFonts w:ascii="Arial" w:eastAsia="Times New Roman" w:hAnsi="Arial" w:cs="Arial"/>
                <w:sz w:val="16"/>
                <w:szCs w:val="16"/>
              </w:rPr>
            </w:pPr>
            <w:r w:rsidRPr="006875BA">
              <w:rPr>
                <w:rFonts w:ascii="Arial" w:eastAsia="Times New Roman" w:hAnsi="Arial" w:cs="Arial"/>
                <w:sz w:val="16"/>
                <w:szCs w:val="16"/>
              </w:rPr>
              <w:t>$58.20</w:t>
            </w:r>
          </w:p>
        </w:tc>
      </w:tr>
      <w:tr w:rsidR="003D38C6" w:rsidRPr="006875BA" w14:paraId="13F46D77" w14:textId="77777777" w:rsidTr="00460015">
        <w:trPr>
          <w:trHeight w:val="255"/>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19CFDC47" w14:textId="77777777" w:rsidR="003D38C6" w:rsidRPr="006875BA" w:rsidRDefault="003D38C6" w:rsidP="00460015">
            <w:pPr>
              <w:rPr>
                <w:rFonts w:ascii="Arial" w:eastAsia="Times New Roman" w:hAnsi="Arial" w:cs="Arial"/>
                <w:sz w:val="16"/>
                <w:szCs w:val="16"/>
              </w:rPr>
            </w:pPr>
            <w:r w:rsidRPr="006875BA">
              <w:rPr>
                <w:rFonts w:ascii="Arial" w:eastAsia="Times New Roman" w:hAnsi="Arial" w:cs="Arial"/>
                <w:sz w:val="16"/>
                <w:szCs w:val="16"/>
              </w:rPr>
              <w:t>Max</w:t>
            </w:r>
          </w:p>
        </w:tc>
        <w:tc>
          <w:tcPr>
            <w:tcW w:w="1120" w:type="dxa"/>
            <w:tcBorders>
              <w:top w:val="nil"/>
              <w:left w:val="nil"/>
              <w:bottom w:val="single" w:sz="4" w:space="0" w:color="auto"/>
              <w:right w:val="single" w:sz="4" w:space="0" w:color="auto"/>
            </w:tcBorders>
            <w:shd w:val="clear" w:color="auto" w:fill="auto"/>
            <w:noWrap/>
            <w:vAlign w:val="bottom"/>
            <w:hideMark/>
          </w:tcPr>
          <w:p w14:paraId="56424A03" w14:textId="77777777" w:rsidR="003D38C6" w:rsidRPr="006875BA" w:rsidRDefault="003D38C6" w:rsidP="00460015">
            <w:pPr>
              <w:ind w:firstLineChars="100" w:firstLine="160"/>
              <w:jc w:val="right"/>
              <w:rPr>
                <w:rFonts w:ascii="Arial" w:eastAsia="Times New Roman" w:hAnsi="Arial" w:cs="Arial"/>
                <w:sz w:val="16"/>
                <w:szCs w:val="16"/>
              </w:rPr>
            </w:pPr>
            <w:r w:rsidRPr="006875BA">
              <w:rPr>
                <w:rFonts w:ascii="Arial" w:eastAsia="Times New Roman" w:hAnsi="Arial" w:cs="Arial"/>
                <w:sz w:val="16"/>
                <w:szCs w:val="16"/>
              </w:rPr>
              <w:t>$64.25</w:t>
            </w:r>
          </w:p>
        </w:tc>
        <w:tc>
          <w:tcPr>
            <w:tcW w:w="1020" w:type="dxa"/>
            <w:tcBorders>
              <w:top w:val="nil"/>
              <w:left w:val="nil"/>
              <w:bottom w:val="single" w:sz="4" w:space="0" w:color="auto"/>
              <w:right w:val="single" w:sz="4" w:space="0" w:color="auto"/>
            </w:tcBorders>
            <w:shd w:val="clear" w:color="auto" w:fill="auto"/>
            <w:noWrap/>
            <w:vAlign w:val="bottom"/>
            <w:hideMark/>
          </w:tcPr>
          <w:p w14:paraId="481E3419" w14:textId="77777777" w:rsidR="003D38C6" w:rsidRPr="006875BA" w:rsidRDefault="003D38C6" w:rsidP="00460015">
            <w:pPr>
              <w:ind w:firstLineChars="100" w:firstLine="160"/>
              <w:jc w:val="right"/>
              <w:rPr>
                <w:rFonts w:ascii="Arial" w:eastAsia="Times New Roman" w:hAnsi="Arial" w:cs="Arial"/>
                <w:sz w:val="16"/>
                <w:szCs w:val="16"/>
              </w:rPr>
            </w:pPr>
            <w:r w:rsidRPr="006875BA">
              <w:rPr>
                <w:rFonts w:ascii="Arial" w:eastAsia="Times New Roman" w:hAnsi="Arial" w:cs="Arial"/>
                <w:sz w:val="16"/>
                <w:szCs w:val="16"/>
              </w:rPr>
              <w:t>$0.44</w:t>
            </w:r>
          </w:p>
        </w:tc>
        <w:tc>
          <w:tcPr>
            <w:tcW w:w="1020" w:type="dxa"/>
            <w:tcBorders>
              <w:top w:val="nil"/>
              <w:left w:val="nil"/>
              <w:bottom w:val="single" w:sz="4" w:space="0" w:color="auto"/>
              <w:right w:val="single" w:sz="4" w:space="0" w:color="auto"/>
            </w:tcBorders>
            <w:shd w:val="clear" w:color="auto" w:fill="auto"/>
            <w:noWrap/>
            <w:vAlign w:val="bottom"/>
            <w:hideMark/>
          </w:tcPr>
          <w:p w14:paraId="49C18936" w14:textId="77777777" w:rsidR="003D38C6" w:rsidRPr="006875BA" w:rsidRDefault="003D38C6" w:rsidP="00460015">
            <w:pPr>
              <w:ind w:firstLineChars="100" w:firstLine="160"/>
              <w:jc w:val="right"/>
              <w:rPr>
                <w:rFonts w:ascii="Arial" w:eastAsia="Times New Roman" w:hAnsi="Arial" w:cs="Arial"/>
                <w:sz w:val="16"/>
                <w:szCs w:val="16"/>
              </w:rPr>
            </w:pPr>
            <w:r w:rsidRPr="006875BA">
              <w:rPr>
                <w:rFonts w:ascii="Arial" w:eastAsia="Times New Roman" w:hAnsi="Arial" w:cs="Arial"/>
                <w:sz w:val="16"/>
                <w:szCs w:val="16"/>
              </w:rPr>
              <w:t>$14.26</w:t>
            </w:r>
          </w:p>
        </w:tc>
        <w:tc>
          <w:tcPr>
            <w:tcW w:w="1020" w:type="dxa"/>
            <w:tcBorders>
              <w:top w:val="nil"/>
              <w:left w:val="nil"/>
              <w:bottom w:val="single" w:sz="4" w:space="0" w:color="auto"/>
              <w:right w:val="single" w:sz="4" w:space="0" w:color="auto"/>
            </w:tcBorders>
            <w:shd w:val="clear" w:color="auto" w:fill="auto"/>
            <w:noWrap/>
            <w:vAlign w:val="bottom"/>
            <w:hideMark/>
          </w:tcPr>
          <w:p w14:paraId="20B9A633" w14:textId="77777777" w:rsidR="003D38C6" w:rsidRPr="006875BA" w:rsidRDefault="003D38C6" w:rsidP="00460015">
            <w:pPr>
              <w:ind w:firstLineChars="100" w:firstLine="160"/>
              <w:jc w:val="right"/>
              <w:rPr>
                <w:rFonts w:ascii="Arial" w:eastAsia="Times New Roman" w:hAnsi="Arial" w:cs="Arial"/>
                <w:sz w:val="16"/>
                <w:szCs w:val="16"/>
              </w:rPr>
            </w:pPr>
            <w:r w:rsidRPr="006875BA">
              <w:rPr>
                <w:rFonts w:ascii="Arial" w:eastAsia="Times New Roman" w:hAnsi="Arial" w:cs="Arial"/>
                <w:sz w:val="16"/>
                <w:szCs w:val="16"/>
              </w:rPr>
              <w:t>$113.13</w:t>
            </w:r>
          </w:p>
        </w:tc>
        <w:tc>
          <w:tcPr>
            <w:tcW w:w="1120" w:type="dxa"/>
            <w:tcBorders>
              <w:top w:val="nil"/>
              <w:left w:val="nil"/>
              <w:bottom w:val="single" w:sz="4" w:space="0" w:color="auto"/>
              <w:right w:val="single" w:sz="4" w:space="0" w:color="auto"/>
            </w:tcBorders>
            <w:shd w:val="clear" w:color="auto" w:fill="auto"/>
            <w:noWrap/>
            <w:vAlign w:val="bottom"/>
            <w:hideMark/>
          </w:tcPr>
          <w:p w14:paraId="0D29B43E" w14:textId="77777777" w:rsidR="003D38C6" w:rsidRPr="006875BA" w:rsidRDefault="003D38C6" w:rsidP="00460015">
            <w:pPr>
              <w:ind w:firstLineChars="100" w:firstLine="160"/>
              <w:jc w:val="right"/>
              <w:rPr>
                <w:rFonts w:ascii="Arial" w:eastAsia="Times New Roman" w:hAnsi="Arial" w:cs="Arial"/>
                <w:sz w:val="16"/>
                <w:szCs w:val="16"/>
              </w:rPr>
            </w:pPr>
            <w:r w:rsidRPr="006875BA">
              <w:rPr>
                <w:rFonts w:ascii="Arial" w:eastAsia="Times New Roman" w:hAnsi="Arial" w:cs="Arial"/>
                <w:sz w:val="16"/>
                <w:szCs w:val="16"/>
              </w:rPr>
              <w:t>$146.27</w:t>
            </w:r>
          </w:p>
        </w:tc>
      </w:tr>
      <w:tr w:rsidR="003D38C6" w:rsidRPr="006875BA" w14:paraId="46E4E0D8" w14:textId="77777777" w:rsidTr="00460015">
        <w:trPr>
          <w:trHeight w:val="255"/>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231837E3" w14:textId="77777777" w:rsidR="003D38C6" w:rsidRPr="006875BA" w:rsidRDefault="003D38C6" w:rsidP="00460015">
            <w:pPr>
              <w:rPr>
                <w:rFonts w:ascii="Arial" w:eastAsia="Times New Roman" w:hAnsi="Arial" w:cs="Arial"/>
                <w:sz w:val="16"/>
                <w:szCs w:val="16"/>
              </w:rPr>
            </w:pPr>
            <w:r w:rsidRPr="006875BA">
              <w:rPr>
                <w:rFonts w:ascii="Arial" w:eastAsia="Times New Roman" w:hAnsi="Arial" w:cs="Arial"/>
                <w:sz w:val="16"/>
                <w:szCs w:val="16"/>
              </w:rPr>
              <w:t>Min</w:t>
            </w:r>
          </w:p>
        </w:tc>
        <w:tc>
          <w:tcPr>
            <w:tcW w:w="1120" w:type="dxa"/>
            <w:tcBorders>
              <w:top w:val="nil"/>
              <w:left w:val="nil"/>
              <w:bottom w:val="single" w:sz="4" w:space="0" w:color="auto"/>
              <w:right w:val="single" w:sz="4" w:space="0" w:color="auto"/>
            </w:tcBorders>
            <w:shd w:val="clear" w:color="auto" w:fill="auto"/>
            <w:noWrap/>
            <w:vAlign w:val="bottom"/>
            <w:hideMark/>
          </w:tcPr>
          <w:p w14:paraId="7324C824" w14:textId="77777777" w:rsidR="003D38C6" w:rsidRPr="006875BA" w:rsidRDefault="003D38C6" w:rsidP="00460015">
            <w:pPr>
              <w:ind w:firstLineChars="100" w:firstLine="160"/>
              <w:jc w:val="right"/>
              <w:rPr>
                <w:rFonts w:ascii="Arial" w:eastAsia="Times New Roman" w:hAnsi="Arial" w:cs="Arial"/>
                <w:sz w:val="16"/>
                <w:szCs w:val="16"/>
              </w:rPr>
            </w:pPr>
            <w:r w:rsidRPr="006875BA">
              <w:rPr>
                <w:rFonts w:ascii="Arial" w:eastAsia="Times New Roman" w:hAnsi="Arial" w:cs="Arial"/>
                <w:sz w:val="16"/>
                <w:szCs w:val="16"/>
              </w:rPr>
              <w:t>$19.44</w:t>
            </w:r>
          </w:p>
        </w:tc>
        <w:tc>
          <w:tcPr>
            <w:tcW w:w="1020" w:type="dxa"/>
            <w:tcBorders>
              <w:top w:val="nil"/>
              <w:left w:val="nil"/>
              <w:bottom w:val="single" w:sz="4" w:space="0" w:color="auto"/>
              <w:right w:val="single" w:sz="4" w:space="0" w:color="auto"/>
            </w:tcBorders>
            <w:shd w:val="clear" w:color="auto" w:fill="auto"/>
            <w:noWrap/>
            <w:vAlign w:val="bottom"/>
            <w:hideMark/>
          </w:tcPr>
          <w:p w14:paraId="651F149F" w14:textId="77777777" w:rsidR="003D38C6" w:rsidRPr="006875BA" w:rsidRDefault="003D38C6" w:rsidP="00460015">
            <w:pPr>
              <w:ind w:firstLineChars="100" w:firstLine="160"/>
              <w:jc w:val="right"/>
              <w:rPr>
                <w:rFonts w:ascii="Arial" w:eastAsia="Times New Roman" w:hAnsi="Arial" w:cs="Arial"/>
                <w:sz w:val="16"/>
                <w:szCs w:val="16"/>
              </w:rPr>
            </w:pPr>
            <w:r w:rsidRPr="006875BA">
              <w:rPr>
                <w:rFonts w:ascii="Arial" w:eastAsia="Times New Roman" w:hAnsi="Arial" w:cs="Arial"/>
                <w:sz w:val="16"/>
                <w:szCs w:val="16"/>
              </w:rPr>
              <w:t>$0.00</w:t>
            </w:r>
          </w:p>
        </w:tc>
        <w:tc>
          <w:tcPr>
            <w:tcW w:w="1020" w:type="dxa"/>
            <w:tcBorders>
              <w:top w:val="nil"/>
              <w:left w:val="nil"/>
              <w:bottom w:val="single" w:sz="4" w:space="0" w:color="auto"/>
              <w:right w:val="single" w:sz="4" w:space="0" w:color="auto"/>
            </w:tcBorders>
            <w:shd w:val="clear" w:color="auto" w:fill="auto"/>
            <w:noWrap/>
            <w:vAlign w:val="bottom"/>
            <w:hideMark/>
          </w:tcPr>
          <w:p w14:paraId="7467083A" w14:textId="77777777" w:rsidR="003D38C6" w:rsidRPr="006875BA" w:rsidRDefault="003D38C6" w:rsidP="00460015">
            <w:pPr>
              <w:ind w:firstLineChars="100" w:firstLine="160"/>
              <w:jc w:val="right"/>
              <w:rPr>
                <w:rFonts w:ascii="Arial" w:eastAsia="Times New Roman" w:hAnsi="Arial" w:cs="Arial"/>
                <w:sz w:val="16"/>
                <w:szCs w:val="16"/>
              </w:rPr>
            </w:pPr>
            <w:r w:rsidRPr="006875BA">
              <w:rPr>
                <w:rFonts w:ascii="Arial" w:eastAsia="Times New Roman" w:hAnsi="Arial" w:cs="Arial"/>
                <w:sz w:val="16"/>
                <w:szCs w:val="16"/>
              </w:rPr>
              <w:t>$0.00</w:t>
            </w:r>
          </w:p>
        </w:tc>
        <w:tc>
          <w:tcPr>
            <w:tcW w:w="1020" w:type="dxa"/>
            <w:tcBorders>
              <w:top w:val="nil"/>
              <w:left w:val="nil"/>
              <w:bottom w:val="single" w:sz="4" w:space="0" w:color="auto"/>
              <w:right w:val="single" w:sz="4" w:space="0" w:color="auto"/>
            </w:tcBorders>
            <w:shd w:val="clear" w:color="auto" w:fill="auto"/>
            <w:noWrap/>
            <w:vAlign w:val="bottom"/>
            <w:hideMark/>
          </w:tcPr>
          <w:p w14:paraId="2FB38B90" w14:textId="77777777" w:rsidR="003D38C6" w:rsidRPr="006875BA" w:rsidRDefault="003D38C6" w:rsidP="00460015">
            <w:pPr>
              <w:ind w:firstLineChars="100" w:firstLine="160"/>
              <w:jc w:val="right"/>
              <w:rPr>
                <w:rFonts w:ascii="Arial" w:eastAsia="Times New Roman" w:hAnsi="Arial" w:cs="Arial"/>
                <w:sz w:val="16"/>
                <w:szCs w:val="16"/>
              </w:rPr>
            </w:pPr>
            <w:r w:rsidRPr="006875BA">
              <w:rPr>
                <w:rFonts w:ascii="Arial" w:eastAsia="Times New Roman" w:hAnsi="Arial" w:cs="Arial"/>
                <w:sz w:val="16"/>
                <w:szCs w:val="16"/>
              </w:rPr>
              <w:t>-$7.86</w:t>
            </w:r>
          </w:p>
        </w:tc>
        <w:tc>
          <w:tcPr>
            <w:tcW w:w="1120" w:type="dxa"/>
            <w:tcBorders>
              <w:top w:val="nil"/>
              <w:left w:val="nil"/>
              <w:bottom w:val="single" w:sz="4" w:space="0" w:color="auto"/>
              <w:right w:val="single" w:sz="4" w:space="0" w:color="auto"/>
            </w:tcBorders>
            <w:shd w:val="clear" w:color="auto" w:fill="auto"/>
            <w:noWrap/>
            <w:vAlign w:val="bottom"/>
            <w:hideMark/>
          </w:tcPr>
          <w:p w14:paraId="15FDDBC5" w14:textId="77777777" w:rsidR="003D38C6" w:rsidRPr="006875BA" w:rsidRDefault="003D38C6" w:rsidP="00460015">
            <w:pPr>
              <w:ind w:firstLineChars="100" w:firstLine="160"/>
              <w:jc w:val="right"/>
              <w:rPr>
                <w:rFonts w:ascii="Arial" w:eastAsia="Times New Roman" w:hAnsi="Arial" w:cs="Arial"/>
                <w:sz w:val="16"/>
                <w:szCs w:val="16"/>
              </w:rPr>
            </w:pPr>
            <w:r w:rsidRPr="006875BA">
              <w:rPr>
                <w:rFonts w:ascii="Arial" w:eastAsia="Times New Roman" w:hAnsi="Arial" w:cs="Arial"/>
                <w:sz w:val="16"/>
                <w:szCs w:val="16"/>
              </w:rPr>
              <w:t>$20.83</w:t>
            </w:r>
          </w:p>
        </w:tc>
      </w:tr>
    </w:tbl>
    <w:p w14:paraId="559294DC" w14:textId="77777777" w:rsidR="003D38C6" w:rsidRPr="006507A9" w:rsidRDefault="003D38C6" w:rsidP="003D38C6">
      <w:pPr>
        <w:ind w:left="180"/>
        <w:rPr>
          <w:rFonts w:cstheme="minorHAnsi"/>
          <w:bCs/>
          <w:sz w:val="18"/>
          <w:szCs w:val="18"/>
        </w:rPr>
      </w:pPr>
      <w:r w:rsidRPr="006507A9">
        <w:rPr>
          <w:rFonts w:cstheme="minorHAnsi"/>
          <w:bCs/>
          <w:sz w:val="18"/>
          <w:szCs w:val="18"/>
        </w:rPr>
        <w:t>*In $ Millions</w:t>
      </w:r>
    </w:p>
    <w:p w14:paraId="7365A651" w14:textId="77777777" w:rsidR="003D38C6" w:rsidRPr="003D38C6" w:rsidRDefault="003D38C6" w:rsidP="003D38C6">
      <w:pPr>
        <w:rPr>
          <w:rFonts w:cstheme="minorHAnsi"/>
          <w:b/>
          <w:sz w:val="24"/>
          <w:szCs w:val="24"/>
        </w:rPr>
      </w:pPr>
    </w:p>
    <w:p w14:paraId="444EFC3D" w14:textId="77777777" w:rsidR="00FA7700" w:rsidRDefault="00C94966" w:rsidP="00D97AE5">
      <w:pPr>
        <w:rPr>
          <w:rFonts w:cstheme="minorHAnsi"/>
          <w:sz w:val="36"/>
          <w:szCs w:val="36"/>
        </w:rPr>
      </w:pPr>
      <w:r>
        <w:rPr>
          <w:rFonts w:cstheme="minorHAnsi"/>
          <w:sz w:val="36"/>
          <w:szCs w:val="36"/>
        </w:rPr>
        <w:t>Ro</w:t>
      </w:r>
      <w:r w:rsidR="00FA7700" w:rsidRPr="00FA7700">
        <w:rPr>
          <w:rFonts w:cstheme="minorHAnsi"/>
          <w:sz w:val="36"/>
          <w:szCs w:val="36"/>
        </w:rPr>
        <w:t>yalties</w:t>
      </w:r>
    </w:p>
    <w:p w14:paraId="252F843B" w14:textId="77777777" w:rsidR="0049081D" w:rsidRDefault="0049081D" w:rsidP="00FA7700">
      <w:pPr>
        <w:jc w:val="both"/>
        <w:rPr>
          <w:rFonts w:cstheme="minorHAnsi"/>
          <w:sz w:val="24"/>
          <w:szCs w:val="24"/>
        </w:rPr>
      </w:pPr>
    </w:p>
    <w:p w14:paraId="2AF09DA2" w14:textId="4BD437E4" w:rsidR="00FA7700" w:rsidRPr="00FA7700" w:rsidRDefault="0049081D" w:rsidP="0049081D">
      <w:pPr>
        <w:jc w:val="both"/>
        <w:rPr>
          <w:rFonts w:cstheme="minorHAnsi"/>
          <w:sz w:val="24"/>
          <w:szCs w:val="24"/>
        </w:rPr>
      </w:pPr>
      <w:r>
        <w:rPr>
          <w:rFonts w:cstheme="minorHAnsi"/>
          <w:sz w:val="24"/>
          <w:szCs w:val="24"/>
        </w:rPr>
        <w:t>I</w:t>
      </w:r>
      <w:r w:rsidR="00FA7700" w:rsidRPr="00FA7700">
        <w:rPr>
          <w:rFonts w:cstheme="minorHAnsi"/>
          <w:sz w:val="24"/>
          <w:szCs w:val="24"/>
        </w:rPr>
        <w:t xml:space="preserve">ncome from royalties in </w:t>
      </w:r>
      <w:r w:rsidR="008D3B48">
        <w:rPr>
          <w:rFonts w:cstheme="minorHAnsi"/>
          <w:sz w:val="24"/>
          <w:szCs w:val="24"/>
        </w:rPr>
        <w:t>FY 202</w:t>
      </w:r>
      <w:r w:rsidR="00FF15C7">
        <w:rPr>
          <w:rFonts w:cstheme="minorHAnsi"/>
          <w:sz w:val="24"/>
          <w:szCs w:val="24"/>
        </w:rPr>
        <w:t>3</w:t>
      </w:r>
      <w:r w:rsidR="00FA7700" w:rsidRPr="00FA7700">
        <w:rPr>
          <w:rFonts w:cstheme="minorHAnsi"/>
          <w:sz w:val="24"/>
          <w:szCs w:val="24"/>
        </w:rPr>
        <w:t xml:space="preserve"> was $</w:t>
      </w:r>
      <w:r w:rsidR="00FF15C7">
        <w:rPr>
          <w:rFonts w:cstheme="minorHAnsi"/>
          <w:sz w:val="24"/>
          <w:szCs w:val="24"/>
        </w:rPr>
        <w:t>4.47</w:t>
      </w:r>
      <w:r w:rsidR="00965757">
        <w:rPr>
          <w:rFonts w:cstheme="minorHAnsi"/>
          <w:sz w:val="24"/>
          <w:szCs w:val="24"/>
        </w:rPr>
        <w:t xml:space="preserve"> Million</w:t>
      </w:r>
      <w:r w:rsidR="00706F0E">
        <w:rPr>
          <w:rFonts w:cstheme="minorHAnsi"/>
          <w:sz w:val="24"/>
          <w:szCs w:val="24"/>
        </w:rPr>
        <w:t>, which is derived</w:t>
      </w:r>
      <w:r w:rsidR="00FA7700" w:rsidRPr="00FA7700">
        <w:rPr>
          <w:rFonts w:cstheme="minorHAnsi"/>
          <w:sz w:val="24"/>
          <w:szCs w:val="24"/>
        </w:rPr>
        <w:t xml:space="preserve"> from natural resources production on the Outer Continental Shelf in the Gulf of Mexico, subject to the 8(g) settlement with the federal government.  This portion of the fund’s income is a direct result of </w:t>
      </w:r>
      <w:r w:rsidR="00F57EEE">
        <w:rPr>
          <w:rFonts w:cstheme="minorHAnsi"/>
          <w:sz w:val="24"/>
          <w:szCs w:val="24"/>
        </w:rPr>
        <w:t>oil and</w:t>
      </w:r>
      <w:r w:rsidR="00F57EEE" w:rsidRPr="00FA7700">
        <w:rPr>
          <w:rFonts w:cstheme="minorHAnsi"/>
          <w:sz w:val="24"/>
          <w:szCs w:val="24"/>
        </w:rPr>
        <w:t xml:space="preserve"> </w:t>
      </w:r>
      <w:r w:rsidR="00FA7700" w:rsidRPr="00FA7700">
        <w:rPr>
          <w:rFonts w:cstheme="minorHAnsi"/>
          <w:sz w:val="24"/>
          <w:szCs w:val="24"/>
        </w:rPr>
        <w:t xml:space="preserve">gas prices </w:t>
      </w:r>
      <w:r w:rsidR="000A0A55">
        <w:rPr>
          <w:rFonts w:cstheme="minorHAnsi"/>
          <w:sz w:val="24"/>
          <w:szCs w:val="24"/>
        </w:rPr>
        <w:t xml:space="preserve">and </w:t>
      </w:r>
      <w:proofErr w:type="gramStart"/>
      <w:r w:rsidR="000A0A55">
        <w:rPr>
          <w:rFonts w:cstheme="minorHAnsi"/>
          <w:sz w:val="24"/>
          <w:szCs w:val="24"/>
        </w:rPr>
        <w:t xml:space="preserve">production, </w:t>
      </w:r>
      <w:r w:rsidR="00FA7700" w:rsidRPr="00FA7700">
        <w:rPr>
          <w:rFonts w:cstheme="minorHAnsi"/>
          <w:sz w:val="24"/>
          <w:szCs w:val="24"/>
        </w:rPr>
        <w:t>and</w:t>
      </w:r>
      <w:proofErr w:type="gramEnd"/>
      <w:r w:rsidR="00FA7700" w:rsidRPr="00FA7700">
        <w:rPr>
          <w:rFonts w:cstheme="minorHAnsi"/>
          <w:sz w:val="24"/>
          <w:szCs w:val="24"/>
        </w:rPr>
        <w:t xml:space="preserve"> fluctuate</w:t>
      </w:r>
      <w:r w:rsidR="000A0A55">
        <w:rPr>
          <w:rFonts w:cstheme="minorHAnsi"/>
          <w:sz w:val="24"/>
          <w:szCs w:val="24"/>
        </w:rPr>
        <w:t>s</w:t>
      </w:r>
      <w:r w:rsidR="00FA7700" w:rsidRPr="00FA7700">
        <w:rPr>
          <w:rFonts w:cstheme="minorHAnsi"/>
          <w:sz w:val="24"/>
          <w:szCs w:val="24"/>
        </w:rPr>
        <w:t xml:space="preserve"> as production and pr</w:t>
      </w:r>
      <w:r w:rsidR="000A0A55">
        <w:rPr>
          <w:rFonts w:cstheme="minorHAnsi"/>
          <w:sz w:val="24"/>
          <w:szCs w:val="24"/>
        </w:rPr>
        <w:t>ices</w:t>
      </w:r>
      <w:r w:rsidR="00FA7700" w:rsidRPr="00FA7700">
        <w:rPr>
          <w:rFonts w:cstheme="minorHAnsi"/>
          <w:sz w:val="24"/>
          <w:szCs w:val="24"/>
        </w:rPr>
        <w:t xml:space="preserve"> rise and fall.  For instance, in FY </w:t>
      </w:r>
      <w:r w:rsidR="00F57EEE">
        <w:rPr>
          <w:rFonts w:cstheme="minorHAnsi"/>
          <w:sz w:val="24"/>
          <w:szCs w:val="24"/>
        </w:rPr>
        <w:t>1987</w:t>
      </w:r>
      <w:r w:rsidR="00F57EEE" w:rsidRPr="00FA7700">
        <w:rPr>
          <w:rFonts w:cstheme="minorHAnsi"/>
          <w:sz w:val="24"/>
          <w:szCs w:val="24"/>
        </w:rPr>
        <w:t xml:space="preserve"> </w:t>
      </w:r>
      <w:r w:rsidR="00FA7700" w:rsidRPr="00FA7700">
        <w:rPr>
          <w:rFonts w:cstheme="minorHAnsi"/>
          <w:sz w:val="24"/>
          <w:szCs w:val="24"/>
        </w:rPr>
        <w:t>the income from royalties was $</w:t>
      </w:r>
      <w:r w:rsidR="00F57EEE">
        <w:rPr>
          <w:rFonts w:cstheme="minorHAnsi"/>
          <w:sz w:val="24"/>
          <w:szCs w:val="24"/>
        </w:rPr>
        <w:t>10.38</w:t>
      </w:r>
      <w:r w:rsidR="00FA7700" w:rsidRPr="00FA7700">
        <w:rPr>
          <w:rFonts w:cstheme="minorHAnsi"/>
          <w:sz w:val="24"/>
          <w:szCs w:val="24"/>
        </w:rPr>
        <w:t xml:space="preserve"> </w:t>
      </w:r>
      <w:r w:rsidR="0072616B">
        <w:rPr>
          <w:rFonts w:cstheme="minorHAnsi"/>
          <w:sz w:val="24"/>
          <w:szCs w:val="24"/>
        </w:rPr>
        <w:t>Million</w:t>
      </w:r>
      <w:r w:rsidR="00FA7700" w:rsidRPr="00FA7700">
        <w:rPr>
          <w:rFonts w:cstheme="minorHAnsi"/>
          <w:sz w:val="24"/>
          <w:szCs w:val="24"/>
        </w:rPr>
        <w:t xml:space="preserve"> and has averaged about $</w:t>
      </w:r>
      <w:r w:rsidR="00F57EEE">
        <w:rPr>
          <w:rFonts w:cstheme="minorHAnsi"/>
          <w:sz w:val="24"/>
          <w:szCs w:val="24"/>
        </w:rPr>
        <w:t>1</w:t>
      </w:r>
      <w:r w:rsidR="00DB1A8E">
        <w:rPr>
          <w:rFonts w:cstheme="minorHAnsi"/>
          <w:sz w:val="24"/>
          <w:szCs w:val="24"/>
        </w:rPr>
        <w:t>8.18</w:t>
      </w:r>
      <w:r w:rsidR="00CF6DE7" w:rsidRPr="00FA7700">
        <w:rPr>
          <w:rFonts w:cstheme="minorHAnsi"/>
          <w:sz w:val="24"/>
          <w:szCs w:val="24"/>
        </w:rPr>
        <w:t xml:space="preserve"> </w:t>
      </w:r>
      <w:r w:rsidR="0072616B">
        <w:rPr>
          <w:rFonts w:cstheme="minorHAnsi"/>
          <w:sz w:val="24"/>
          <w:szCs w:val="24"/>
        </w:rPr>
        <w:t>Million</w:t>
      </w:r>
      <w:r w:rsidR="00FA7700" w:rsidRPr="00FA7700">
        <w:rPr>
          <w:rFonts w:cstheme="minorHAnsi"/>
          <w:sz w:val="24"/>
          <w:szCs w:val="24"/>
        </w:rPr>
        <w:t xml:space="preserve"> </w:t>
      </w:r>
      <w:r w:rsidR="00D92B3F">
        <w:rPr>
          <w:rFonts w:cstheme="minorHAnsi"/>
          <w:sz w:val="24"/>
          <w:szCs w:val="24"/>
        </w:rPr>
        <w:t xml:space="preserve">annually </w:t>
      </w:r>
      <w:r w:rsidR="00FA7700" w:rsidRPr="00FA7700">
        <w:rPr>
          <w:rFonts w:cstheme="minorHAnsi"/>
          <w:sz w:val="24"/>
          <w:szCs w:val="24"/>
        </w:rPr>
        <w:t>since the inception of the LEQTF.</w:t>
      </w:r>
    </w:p>
    <w:p w14:paraId="6BDC0D4A" w14:textId="77777777" w:rsidR="00FA7700" w:rsidRPr="00FA7700" w:rsidRDefault="00FA7700" w:rsidP="00FA7700">
      <w:pPr>
        <w:jc w:val="both"/>
        <w:rPr>
          <w:rFonts w:cstheme="minorHAnsi"/>
          <w:sz w:val="24"/>
          <w:szCs w:val="24"/>
        </w:rPr>
      </w:pPr>
    </w:p>
    <w:p w14:paraId="73F6CDFC" w14:textId="27711373" w:rsidR="00FA7700" w:rsidRDefault="00FA7700" w:rsidP="00FA7700">
      <w:pPr>
        <w:jc w:val="both"/>
        <w:rPr>
          <w:rFonts w:cstheme="minorHAnsi"/>
          <w:sz w:val="24"/>
          <w:szCs w:val="24"/>
        </w:rPr>
      </w:pPr>
      <w:r w:rsidRPr="00FA7700">
        <w:rPr>
          <w:rFonts w:cstheme="minorHAnsi"/>
          <w:sz w:val="24"/>
          <w:szCs w:val="24"/>
        </w:rPr>
        <w:t xml:space="preserve">It is important to note that once the market value of the Permanent Fund reaches $2 </w:t>
      </w:r>
      <w:r w:rsidR="006D1E36">
        <w:rPr>
          <w:rFonts w:cstheme="minorHAnsi"/>
          <w:sz w:val="24"/>
          <w:szCs w:val="24"/>
        </w:rPr>
        <w:t>Billion</w:t>
      </w:r>
      <w:r w:rsidRPr="00FA7700">
        <w:rPr>
          <w:rFonts w:cstheme="minorHAnsi"/>
          <w:sz w:val="24"/>
          <w:szCs w:val="24"/>
        </w:rPr>
        <w:t>, all investment income will be credited to the Support Fund, and recurring royalty income will revert to the state’s General Fund.</w:t>
      </w:r>
      <w:r w:rsidR="00CF6DE7">
        <w:rPr>
          <w:rFonts w:cstheme="minorHAnsi"/>
          <w:sz w:val="24"/>
          <w:szCs w:val="24"/>
        </w:rPr>
        <w:t xml:space="preserve">  The </w:t>
      </w:r>
      <w:r w:rsidR="0098086F">
        <w:rPr>
          <w:rFonts w:cstheme="minorHAnsi"/>
          <w:sz w:val="24"/>
          <w:szCs w:val="24"/>
        </w:rPr>
        <w:t xml:space="preserve">total </w:t>
      </w:r>
      <w:r w:rsidR="00CF6DE7">
        <w:rPr>
          <w:rFonts w:cstheme="minorHAnsi"/>
          <w:sz w:val="24"/>
          <w:szCs w:val="24"/>
        </w:rPr>
        <w:t>market value</w:t>
      </w:r>
      <w:r w:rsidR="0098086F">
        <w:rPr>
          <w:rFonts w:cstheme="minorHAnsi"/>
          <w:sz w:val="24"/>
          <w:szCs w:val="24"/>
        </w:rPr>
        <w:t xml:space="preserve"> </w:t>
      </w:r>
      <w:r w:rsidR="00CF6DE7">
        <w:rPr>
          <w:rFonts w:cstheme="minorHAnsi"/>
          <w:sz w:val="24"/>
          <w:szCs w:val="24"/>
        </w:rPr>
        <w:t>of the trust fund is currently $</w:t>
      </w:r>
      <w:r w:rsidR="0066429A">
        <w:rPr>
          <w:rFonts w:cstheme="minorHAnsi"/>
          <w:sz w:val="24"/>
          <w:szCs w:val="24"/>
        </w:rPr>
        <w:t>1</w:t>
      </w:r>
      <w:r w:rsidR="00920940">
        <w:rPr>
          <w:rFonts w:cstheme="minorHAnsi"/>
          <w:sz w:val="24"/>
          <w:szCs w:val="24"/>
        </w:rPr>
        <w:t>.673</w:t>
      </w:r>
      <w:r w:rsidR="0066429A">
        <w:rPr>
          <w:rFonts w:cstheme="minorHAnsi"/>
          <w:sz w:val="24"/>
          <w:szCs w:val="24"/>
        </w:rPr>
        <w:t xml:space="preserve"> </w:t>
      </w:r>
      <w:r w:rsidR="006D1E36">
        <w:rPr>
          <w:rFonts w:cstheme="minorHAnsi"/>
          <w:sz w:val="24"/>
          <w:szCs w:val="24"/>
        </w:rPr>
        <w:t>Billion</w:t>
      </w:r>
      <w:r w:rsidR="00CF6DE7">
        <w:rPr>
          <w:rFonts w:cstheme="minorHAnsi"/>
          <w:sz w:val="24"/>
          <w:szCs w:val="24"/>
        </w:rPr>
        <w:t>.</w:t>
      </w:r>
      <w:r w:rsidR="0098086F">
        <w:rPr>
          <w:rFonts w:cstheme="minorHAnsi"/>
          <w:sz w:val="24"/>
          <w:szCs w:val="24"/>
        </w:rPr>
        <w:t xml:space="preserve">  </w:t>
      </w:r>
      <w:r w:rsidR="0098086F" w:rsidRPr="00F653DB">
        <w:rPr>
          <w:rFonts w:cstheme="minorHAnsi"/>
          <w:sz w:val="24"/>
          <w:szCs w:val="24"/>
        </w:rPr>
        <w:t>The current market value of the Permanent Fund is $1.</w:t>
      </w:r>
      <w:r w:rsidR="00DB1A8E">
        <w:rPr>
          <w:rFonts w:cstheme="minorHAnsi"/>
          <w:sz w:val="24"/>
          <w:szCs w:val="24"/>
        </w:rPr>
        <w:t>53</w:t>
      </w:r>
      <w:r w:rsidR="00D97AE5" w:rsidRPr="00F653DB">
        <w:rPr>
          <w:rFonts w:cstheme="minorHAnsi"/>
          <w:sz w:val="24"/>
          <w:szCs w:val="24"/>
        </w:rPr>
        <w:t xml:space="preserve"> </w:t>
      </w:r>
      <w:r w:rsidR="006D1E36" w:rsidRPr="00F653DB">
        <w:rPr>
          <w:rFonts w:cstheme="minorHAnsi"/>
          <w:sz w:val="24"/>
          <w:szCs w:val="24"/>
        </w:rPr>
        <w:t>Billion</w:t>
      </w:r>
      <w:r w:rsidR="0098086F" w:rsidRPr="00F653DB">
        <w:rPr>
          <w:rFonts w:cstheme="minorHAnsi"/>
          <w:sz w:val="24"/>
          <w:szCs w:val="24"/>
        </w:rPr>
        <w:t>.</w:t>
      </w:r>
    </w:p>
    <w:p w14:paraId="5E49315C" w14:textId="77777777" w:rsidR="00BA3303" w:rsidRDefault="00BA3303" w:rsidP="00FA7700">
      <w:pPr>
        <w:jc w:val="both"/>
        <w:rPr>
          <w:rFonts w:cstheme="minorHAnsi"/>
          <w:sz w:val="24"/>
          <w:szCs w:val="24"/>
        </w:rPr>
      </w:pPr>
    </w:p>
    <w:p w14:paraId="38F77728" w14:textId="77777777" w:rsidR="00CC0D1B" w:rsidRDefault="00CC0D1B" w:rsidP="00CC0D1B">
      <w:pPr>
        <w:rPr>
          <w:rFonts w:cstheme="minorHAnsi"/>
          <w:sz w:val="24"/>
          <w:szCs w:val="24"/>
        </w:rPr>
      </w:pPr>
      <w:r w:rsidRPr="00BA3303">
        <w:rPr>
          <w:rFonts w:cstheme="minorHAnsi"/>
          <w:b/>
          <w:sz w:val="32"/>
          <w:szCs w:val="32"/>
        </w:rPr>
        <w:t>History of Income from All Sources and Annual Allocations</w:t>
      </w:r>
      <w:r w:rsidRPr="00BA3303">
        <w:rPr>
          <w:rFonts w:cstheme="minorHAnsi"/>
          <w:sz w:val="24"/>
          <w:szCs w:val="24"/>
        </w:rPr>
        <w:t xml:space="preserve"> *</w:t>
      </w:r>
    </w:p>
    <w:tbl>
      <w:tblPr>
        <w:tblW w:w="9350" w:type="dxa"/>
        <w:tblLayout w:type="fixed"/>
        <w:tblLook w:val="04A0" w:firstRow="1" w:lastRow="0" w:firstColumn="1" w:lastColumn="0" w:noHBand="0" w:noVBand="1"/>
      </w:tblPr>
      <w:tblGrid>
        <w:gridCol w:w="1874"/>
        <w:gridCol w:w="1271"/>
        <w:gridCol w:w="990"/>
        <w:gridCol w:w="943"/>
        <w:gridCol w:w="1217"/>
        <w:gridCol w:w="919"/>
        <w:gridCol w:w="1068"/>
        <w:gridCol w:w="1068"/>
      </w:tblGrid>
      <w:tr w:rsidR="00D71762" w:rsidRPr="00D71762" w14:paraId="14213459" w14:textId="77777777" w:rsidTr="00720970">
        <w:trPr>
          <w:trHeight w:val="510"/>
        </w:trPr>
        <w:tc>
          <w:tcPr>
            <w:tcW w:w="187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83650C2" w14:textId="77777777" w:rsidR="00D71762" w:rsidRPr="00D71762" w:rsidRDefault="00D71762" w:rsidP="00D71762">
            <w:pPr>
              <w:rPr>
                <w:rFonts w:ascii="Arial" w:eastAsia="Times New Roman" w:hAnsi="Arial" w:cs="Arial"/>
                <w:sz w:val="20"/>
                <w:szCs w:val="20"/>
              </w:rPr>
            </w:pPr>
            <w:r w:rsidRPr="00D71762">
              <w:rPr>
                <w:rFonts w:ascii="Arial" w:eastAsia="Times New Roman" w:hAnsi="Arial" w:cs="Arial"/>
                <w:sz w:val="20"/>
                <w:szCs w:val="20"/>
              </w:rPr>
              <w:t> </w:t>
            </w:r>
          </w:p>
        </w:tc>
        <w:tc>
          <w:tcPr>
            <w:tcW w:w="1271" w:type="dxa"/>
            <w:tcBorders>
              <w:top w:val="single" w:sz="4" w:space="0" w:color="auto"/>
              <w:left w:val="nil"/>
              <w:bottom w:val="single" w:sz="4" w:space="0" w:color="auto"/>
              <w:right w:val="single" w:sz="4" w:space="0" w:color="auto"/>
            </w:tcBorders>
            <w:shd w:val="clear" w:color="auto" w:fill="auto"/>
            <w:vAlign w:val="bottom"/>
            <w:hideMark/>
          </w:tcPr>
          <w:p w14:paraId="56C52646" w14:textId="77777777" w:rsidR="00D71762" w:rsidRPr="00D71762" w:rsidRDefault="00D71762" w:rsidP="00D71762">
            <w:pPr>
              <w:jc w:val="center"/>
              <w:rPr>
                <w:rFonts w:ascii="Calibri" w:eastAsia="Times New Roman" w:hAnsi="Calibri" w:cs="Calibri"/>
                <w:sz w:val="20"/>
                <w:szCs w:val="20"/>
              </w:rPr>
            </w:pPr>
            <w:r w:rsidRPr="00D71762">
              <w:rPr>
                <w:rFonts w:ascii="Calibri" w:eastAsia="Times New Roman" w:hAnsi="Calibri" w:cs="Calibri"/>
                <w:sz w:val="20"/>
                <w:szCs w:val="20"/>
              </w:rPr>
              <w:t>Total From Investments</w:t>
            </w:r>
          </w:p>
        </w:tc>
        <w:tc>
          <w:tcPr>
            <w:tcW w:w="990" w:type="dxa"/>
            <w:tcBorders>
              <w:top w:val="single" w:sz="4" w:space="0" w:color="auto"/>
              <w:left w:val="nil"/>
              <w:bottom w:val="single" w:sz="4" w:space="0" w:color="auto"/>
              <w:right w:val="single" w:sz="4" w:space="0" w:color="auto"/>
            </w:tcBorders>
            <w:shd w:val="clear" w:color="auto" w:fill="auto"/>
            <w:vAlign w:val="bottom"/>
            <w:hideMark/>
          </w:tcPr>
          <w:p w14:paraId="645A38C0" w14:textId="77777777" w:rsidR="00D71762" w:rsidRPr="00D71762" w:rsidRDefault="00D71762" w:rsidP="00D71762">
            <w:pPr>
              <w:jc w:val="center"/>
              <w:rPr>
                <w:rFonts w:ascii="Calibri" w:eastAsia="Times New Roman" w:hAnsi="Calibri" w:cs="Calibri"/>
                <w:sz w:val="20"/>
                <w:szCs w:val="20"/>
              </w:rPr>
            </w:pPr>
            <w:r w:rsidRPr="00D71762">
              <w:rPr>
                <w:rFonts w:ascii="Calibri" w:eastAsia="Times New Roman" w:hAnsi="Calibri" w:cs="Calibri"/>
                <w:sz w:val="20"/>
                <w:szCs w:val="20"/>
              </w:rPr>
              <w:t>Total From Royalties</w:t>
            </w:r>
          </w:p>
        </w:tc>
        <w:tc>
          <w:tcPr>
            <w:tcW w:w="943" w:type="dxa"/>
            <w:tcBorders>
              <w:top w:val="single" w:sz="4" w:space="0" w:color="auto"/>
              <w:left w:val="nil"/>
              <w:bottom w:val="single" w:sz="4" w:space="0" w:color="auto"/>
              <w:right w:val="single" w:sz="4" w:space="0" w:color="auto"/>
            </w:tcBorders>
            <w:shd w:val="clear" w:color="auto" w:fill="auto"/>
            <w:vAlign w:val="bottom"/>
            <w:hideMark/>
          </w:tcPr>
          <w:p w14:paraId="743FF81C" w14:textId="77777777" w:rsidR="00D71762" w:rsidRPr="00D71762" w:rsidRDefault="00D71762" w:rsidP="00D71762">
            <w:pPr>
              <w:jc w:val="center"/>
              <w:rPr>
                <w:rFonts w:ascii="Calibri" w:eastAsia="Times New Roman" w:hAnsi="Calibri" w:cs="Calibri"/>
                <w:sz w:val="20"/>
                <w:szCs w:val="20"/>
              </w:rPr>
            </w:pPr>
            <w:r w:rsidRPr="00D71762">
              <w:rPr>
                <w:rFonts w:ascii="Calibri" w:eastAsia="Times New Roman" w:hAnsi="Calibri" w:cs="Calibri"/>
                <w:sz w:val="20"/>
                <w:szCs w:val="20"/>
              </w:rPr>
              <w:t>Total to Fund</w:t>
            </w:r>
          </w:p>
        </w:tc>
        <w:tc>
          <w:tcPr>
            <w:tcW w:w="1217" w:type="dxa"/>
            <w:tcBorders>
              <w:top w:val="single" w:sz="4" w:space="0" w:color="auto"/>
              <w:left w:val="nil"/>
              <w:bottom w:val="single" w:sz="4" w:space="0" w:color="auto"/>
              <w:right w:val="single" w:sz="4" w:space="0" w:color="auto"/>
            </w:tcBorders>
            <w:shd w:val="clear" w:color="auto" w:fill="auto"/>
            <w:vAlign w:val="bottom"/>
            <w:hideMark/>
          </w:tcPr>
          <w:p w14:paraId="551E4C9F" w14:textId="77777777" w:rsidR="00D71762" w:rsidRPr="00D71762" w:rsidRDefault="00D71762" w:rsidP="00D71762">
            <w:pPr>
              <w:jc w:val="center"/>
              <w:rPr>
                <w:rFonts w:ascii="Calibri" w:eastAsia="Times New Roman" w:hAnsi="Calibri" w:cs="Calibri"/>
                <w:sz w:val="20"/>
                <w:szCs w:val="20"/>
              </w:rPr>
            </w:pPr>
            <w:r w:rsidRPr="00D71762">
              <w:rPr>
                <w:rFonts w:ascii="Calibri" w:eastAsia="Times New Roman" w:hAnsi="Calibri" w:cs="Calibri"/>
                <w:sz w:val="20"/>
                <w:szCs w:val="20"/>
              </w:rPr>
              <w:t>Permanent Fund</w:t>
            </w:r>
          </w:p>
        </w:tc>
        <w:tc>
          <w:tcPr>
            <w:tcW w:w="919" w:type="dxa"/>
            <w:tcBorders>
              <w:top w:val="single" w:sz="4" w:space="0" w:color="auto"/>
              <w:left w:val="nil"/>
              <w:bottom w:val="single" w:sz="4" w:space="0" w:color="auto"/>
              <w:right w:val="single" w:sz="4" w:space="0" w:color="auto"/>
            </w:tcBorders>
            <w:shd w:val="clear" w:color="auto" w:fill="auto"/>
            <w:vAlign w:val="bottom"/>
            <w:hideMark/>
          </w:tcPr>
          <w:p w14:paraId="066E52BF" w14:textId="77777777" w:rsidR="00D71762" w:rsidRPr="00D71762" w:rsidRDefault="00D71762" w:rsidP="00D71762">
            <w:pPr>
              <w:jc w:val="center"/>
              <w:rPr>
                <w:rFonts w:ascii="Calibri" w:eastAsia="Times New Roman" w:hAnsi="Calibri" w:cs="Calibri"/>
                <w:sz w:val="20"/>
                <w:szCs w:val="20"/>
              </w:rPr>
            </w:pPr>
            <w:r w:rsidRPr="00D71762">
              <w:rPr>
                <w:rFonts w:ascii="Calibri" w:eastAsia="Times New Roman" w:hAnsi="Calibri" w:cs="Calibri"/>
                <w:sz w:val="20"/>
                <w:szCs w:val="20"/>
              </w:rPr>
              <w:t>Support Fund</w:t>
            </w:r>
          </w:p>
        </w:tc>
        <w:tc>
          <w:tcPr>
            <w:tcW w:w="1068" w:type="dxa"/>
            <w:tcBorders>
              <w:top w:val="single" w:sz="4" w:space="0" w:color="auto"/>
              <w:left w:val="nil"/>
              <w:bottom w:val="single" w:sz="4" w:space="0" w:color="auto"/>
              <w:right w:val="single" w:sz="4" w:space="0" w:color="auto"/>
            </w:tcBorders>
            <w:shd w:val="clear" w:color="auto" w:fill="auto"/>
            <w:vAlign w:val="bottom"/>
            <w:hideMark/>
          </w:tcPr>
          <w:p w14:paraId="51691AD7" w14:textId="77777777" w:rsidR="00D71762" w:rsidRPr="00D71762" w:rsidRDefault="00D71762" w:rsidP="00D71762">
            <w:pPr>
              <w:jc w:val="center"/>
              <w:rPr>
                <w:rFonts w:ascii="Calibri" w:eastAsia="Times New Roman" w:hAnsi="Calibri" w:cs="Calibri"/>
                <w:sz w:val="20"/>
                <w:szCs w:val="20"/>
              </w:rPr>
            </w:pPr>
            <w:r w:rsidRPr="00D71762">
              <w:rPr>
                <w:rFonts w:ascii="Calibri" w:eastAsia="Times New Roman" w:hAnsi="Calibri" w:cs="Calibri"/>
                <w:sz w:val="20"/>
                <w:szCs w:val="20"/>
              </w:rPr>
              <w:t>Allocation to Regents</w:t>
            </w:r>
          </w:p>
        </w:tc>
        <w:tc>
          <w:tcPr>
            <w:tcW w:w="1068" w:type="dxa"/>
            <w:tcBorders>
              <w:top w:val="single" w:sz="4" w:space="0" w:color="auto"/>
              <w:left w:val="nil"/>
              <w:bottom w:val="single" w:sz="4" w:space="0" w:color="auto"/>
              <w:right w:val="single" w:sz="4" w:space="0" w:color="auto"/>
            </w:tcBorders>
            <w:shd w:val="clear" w:color="auto" w:fill="auto"/>
            <w:vAlign w:val="bottom"/>
            <w:hideMark/>
          </w:tcPr>
          <w:p w14:paraId="48377F73" w14:textId="77777777" w:rsidR="00D71762" w:rsidRPr="00D71762" w:rsidRDefault="00D71762" w:rsidP="00D71762">
            <w:pPr>
              <w:jc w:val="center"/>
              <w:rPr>
                <w:rFonts w:ascii="Calibri" w:eastAsia="Times New Roman" w:hAnsi="Calibri" w:cs="Calibri"/>
                <w:sz w:val="20"/>
                <w:szCs w:val="20"/>
              </w:rPr>
            </w:pPr>
            <w:r w:rsidRPr="00D71762">
              <w:rPr>
                <w:rFonts w:ascii="Calibri" w:eastAsia="Times New Roman" w:hAnsi="Calibri" w:cs="Calibri"/>
                <w:sz w:val="20"/>
                <w:szCs w:val="20"/>
              </w:rPr>
              <w:t>Allocation to BESE</w:t>
            </w:r>
          </w:p>
        </w:tc>
      </w:tr>
      <w:tr w:rsidR="00D71762" w:rsidRPr="00D71762" w14:paraId="1BB485A3" w14:textId="77777777" w:rsidTr="00720970">
        <w:trPr>
          <w:trHeight w:val="255"/>
        </w:trPr>
        <w:tc>
          <w:tcPr>
            <w:tcW w:w="187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8E1FE71" w14:textId="77777777" w:rsidR="00D71762" w:rsidRPr="006507A9" w:rsidRDefault="00D71762" w:rsidP="00D71762">
            <w:pPr>
              <w:rPr>
                <w:rFonts w:ascii="Calibri" w:eastAsia="Times New Roman" w:hAnsi="Calibri" w:cs="Calibri"/>
                <w:b/>
                <w:bCs/>
                <w:sz w:val="20"/>
                <w:szCs w:val="20"/>
              </w:rPr>
            </w:pPr>
            <w:r w:rsidRPr="006507A9">
              <w:rPr>
                <w:rFonts w:ascii="Calibri" w:eastAsia="Times New Roman" w:hAnsi="Calibri" w:cs="Calibri"/>
                <w:b/>
                <w:bCs/>
                <w:sz w:val="20"/>
                <w:szCs w:val="20"/>
              </w:rPr>
              <w:t>Fiscal Year 22-23</w:t>
            </w:r>
          </w:p>
        </w:tc>
        <w:tc>
          <w:tcPr>
            <w:tcW w:w="1271" w:type="dxa"/>
            <w:tcBorders>
              <w:top w:val="nil"/>
              <w:left w:val="nil"/>
              <w:bottom w:val="single" w:sz="4" w:space="0" w:color="auto"/>
              <w:right w:val="single" w:sz="4" w:space="0" w:color="auto"/>
            </w:tcBorders>
            <w:shd w:val="clear" w:color="auto" w:fill="auto"/>
            <w:noWrap/>
            <w:vAlign w:val="bottom"/>
            <w:hideMark/>
          </w:tcPr>
          <w:p w14:paraId="70EB1328" w14:textId="77777777" w:rsidR="00D71762" w:rsidRPr="006507A9" w:rsidRDefault="00D71762" w:rsidP="00D71762">
            <w:pPr>
              <w:jc w:val="right"/>
              <w:rPr>
                <w:rFonts w:ascii="Calibri" w:eastAsia="Times New Roman" w:hAnsi="Calibri" w:cs="Calibri"/>
                <w:b/>
                <w:bCs/>
                <w:sz w:val="20"/>
                <w:szCs w:val="20"/>
              </w:rPr>
            </w:pPr>
            <w:r w:rsidRPr="006507A9">
              <w:rPr>
                <w:rFonts w:ascii="Calibri" w:eastAsia="Times New Roman" w:hAnsi="Calibri" w:cs="Calibri"/>
                <w:b/>
                <w:bCs/>
                <w:sz w:val="20"/>
                <w:szCs w:val="20"/>
              </w:rPr>
              <w:t xml:space="preserve">$38.56 </w:t>
            </w:r>
          </w:p>
        </w:tc>
        <w:tc>
          <w:tcPr>
            <w:tcW w:w="990" w:type="dxa"/>
            <w:tcBorders>
              <w:top w:val="nil"/>
              <w:left w:val="nil"/>
              <w:bottom w:val="single" w:sz="4" w:space="0" w:color="auto"/>
              <w:right w:val="single" w:sz="4" w:space="0" w:color="auto"/>
            </w:tcBorders>
            <w:shd w:val="clear" w:color="auto" w:fill="auto"/>
            <w:noWrap/>
            <w:vAlign w:val="bottom"/>
            <w:hideMark/>
          </w:tcPr>
          <w:p w14:paraId="054AEB22" w14:textId="77777777" w:rsidR="00D71762" w:rsidRPr="006507A9" w:rsidRDefault="00D71762" w:rsidP="00D71762">
            <w:pPr>
              <w:jc w:val="right"/>
              <w:rPr>
                <w:rFonts w:ascii="Calibri" w:eastAsia="Times New Roman" w:hAnsi="Calibri" w:cs="Calibri"/>
                <w:b/>
                <w:bCs/>
                <w:sz w:val="20"/>
                <w:szCs w:val="20"/>
              </w:rPr>
            </w:pPr>
            <w:r w:rsidRPr="006507A9">
              <w:rPr>
                <w:rFonts w:ascii="Calibri" w:eastAsia="Times New Roman" w:hAnsi="Calibri" w:cs="Calibri"/>
                <w:b/>
                <w:bCs/>
                <w:sz w:val="20"/>
                <w:szCs w:val="20"/>
              </w:rPr>
              <w:t xml:space="preserve">$4.47 </w:t>
            </w:r>
          </w:p>
        </w:tc>
        <w:tc>
          <w:tcPr>
            <w:tcW w:w="943" w:type="dxa"/>
            <w:tcBorders>
              <w:top w:val="nil"/>
              <w:left w:val="nil"/>
              <w:bottom w:val="single" w:sz="4" w:space="0" w:color="auto"/>
              <w:right w:val="single" w:sz="4" w:space="0" w:color="auto"/>
            </w:tcBorders>
            <w:shd w:val="clear" w:color="auto" w:fill="auto"/>
            <w:noWrap/>
            <w:vAlign w:val="bottom"/>
            <w:hideMark/>
          </w:tcPr>
          <w:p w14:paraId="262B25BC" w14:textId="77777777" w:rsidR="00D71762" w:rsidRPr="006507A9" w:rsidRDefault="00D71762" w:rsidP="00D71762">
            <w:pPr>
              <w:jc w:val="right"/>
              <w:rPr>
                <w:rFonts w:ascii="Calibri" w:eastAsia="Times New Roman" w:hAnsi="Calibri" w:cs="Calibri"/>
                <w:b/>
                <w:bCs/>
                <w:sz w:val="20"/>
                <w:szCs w:val="20"/>
              </w:rPr>
            </w:pPr>
            <w:r w:rsidRPr="006507A9">
              <w:rPr>
                <w:rFonts w:ascii="Calibri" w:eastAsia="Times New Roman" w:hAnsi="Calibri" w:cs="Calibri"/>
                <w:b/>
                <w:bCs/>
                <w:sz w:val="20"/>
                <w:szCs w:val="20"/>
              </w:rPr>
              <w:t xml:space="preserve">$43.03 </w:t>
            </w:r>
          </w:p>
        </w:tc>
        <w:tc>
          <w:tcPr>
            <w:tcW w:w="1217" w:type="dxa"/>
            <w:tcBorders>
              <w:top w:val="nil"/>
              <w:left w:val="nil"/>
              <w:bottom w:val="single" w:sz="4" w:space="0" w:color="auto"/>
              <w:right w:val="single" w:sz="4" w:space="0" w:color="auto"/>
            </w:tcBorders>
            <w:shd w:val="clear" w:color="auto" w:fill="auto"/>
            <w:noWrap/>
            <w:vAlign w:val="bottom"/>
            <w:hideMark/>
          </w:tcPr>
          <w:p w14:paraId="6053617B" w14:textId="77777777" w:rsidR="00D71762" w:rsidRPr="006507A9" w:rsidRDefault="00D71762" w:rsidP="00D71762">
            <w:pPr>
              <w:jc w:val="right"/>
              <w:rPr>
                <w:rFonts w:ascii="Calibri" w:eastAsia="Times New Roman" w:hAnsi="Calibri" w:cs="Calibri"/>
                <w:b/>
                <w:bCs/>
                <w:sz w:val="20"/>
                <w:szCs w:val="20"/>
              </w:rPr>
            </w:pPr>
            <w:r w:rsidRPr="006507A9">
              <w:rPr>
                <w:rFonts w:ascii="Calibri" w:eastAsia="Times New Roman" w:hAnsi="Calibri" w:cs="Calibri"/>
                <w:b/>
                <w:bCs/>
                <w:sz w:val="20"/>
                <w:szCs w:val="20"/>
              </w:rPr>
              <w:t xml:space="preserve">$11.86 </w:t>
            </w:r>
          </w:p>
        </w:tc>
        <w:tc>
          <w:tcPr>
            <w:tcW w:w="919" w:type="dxa"/>
            <w:tcBorders>
              <w:top w:val="nil"/>
              <w:left w:val="nil"/>
              <w:bottom w:val="single" w:sz="4" w:space="0" w:color="auto"/>
              <w:right w:val="single" w:sz="4" w:space="0" w:color="auto"/>
            </w:tcBorders>
            <w:shd w:val="clear" w:color="auto" w:fill="auto"/>
            <w:noWrap/>
            <w:vAlign w:val="bottom"/>
            <w:hideMark/>
          </w:tcPr>
          <w:p w14:paraId="79CF90C2" w14:textId="77777777" w:rsidR="00D71762" w:rsidRPr="006507A9" w:rsidRDefault="00D71762" w:rsidP="00D71762">
            <w:pPr>
              <w:jc w:val="right"/>
              <w:rPr>
                <w:rFonts w:ascii="Calibri" w:eastAsia="Times New Roman" w:hAnsi="Calibri" w:cs="Calibri"/>
                <w:b/>
                <w:bCs/>
                <w:sz w:val="20"/>
                <w:szCs w:val="20"/>
              </w:rPr>
            </w:pPr>
            <w:r w:rsidRPr="006507A9">
              <w:rPr>
                <w:rFonts w:ascii="Calibri" w:eastAsia="Times New Roman" w:hAnsi="Calibri" w:cs="Calibri"/>
                <w:b/>
                <w:bCs/>
                <w:sz w:val="20"/>
                <w:szCs w:val="20"/>
              </w:rPr>
              <w:t xml:space="preserve">$31.17 </w:t>
            </w:r>
          </w:p>
        </w:tc>
        <w:tc>
          <w:tcPr>
            <w:tcW w:w="1068" w:type="dxa"/>
            <w:tcBorders>
              <w:top w:val="nil"/>
              <w:left w:val="nil"/>
              <w:bottom w:val="single" w:sz="4" w:space="0" w:color="auto"/>
              <w:right w:val="single" w:sz="4" w:space="0" w:color="auto"/>
            </w:tcBorders>
            <w:shd w:val="clear" w:color="auto" w:fill="auto"/>
            <w:noWrap/>
            <w:vAlign w:val="bottom"/>
            <w:hideMark/>
          </w:tcPr>
          <w:p w14:paraId="2AF163F4" w14:textId="77777777" w:rsidR="00D71762" w:rsidRPr="006507A9" w:rsidRDefault="00D71762" w:rsidP="00D71762">
            <w:pPr>
              <w:jc w:val="right"/>
              <w:rPr>
                <w:rFonts w:ascii="Calibri" w:eastAsia="Times New Roman" w:hAnsi="Calibri" w:cs="Calibri"/>
                <w:b/>
                <w:bCs/>
                <w:sz w:val="20"/>
                <w:szCs w:val="20"/>
              </w:rPr>
            </w:pPr>
            <w:r w:rsidRPr="006507A9">
              <w:rPr>
                <w:rFonts w:ascii="Calibri" w:eastAsia="Times New Roman" w:hAnsi="Calibri" w:cs="Calibri"/>
                <w:b/>
                <w:bCs/>
                <w:sz w:val="20"/>
                <w:szCs w:val="20"/>
              </w:rPr>
              <w:t xml:space="preserve">$15.63 </w:t>
            </w:r>
          </w:p>
        </w:tc>
        <w:tc>
          <w:tcPr>
            <w:tcW w:w="1068" w:type="dxa"/>
            <w:tcBorders>
              <w:top w:val="nil"/>
              <w:left w:val="nil"/>
              <w:bottom w:val="single" w:sz="4" w:space="0" w:color="auto"/>
              <w:right w:val="single" w:sz="4" w:space="0" w:color="auto"/>
            </w:tcBorders>
            <w:shd w:val="clear" w:color="auto" w:fill="auto"/>
            <w:noWrap/>
            <w:vAlign w:val="bottom"/>
            <w:hideMark/>
          </w:tcPr>
          <w:p w14:paraId="09945CB0" w14:textId="77777777" w:rsidR="00D71762" w:rsidRPr="006507A9" w:rsidRDefault="00D71762" w:rsidP="00D71762">
            <w:pPr>
              <w:jc w:val="right"/>
              <w:rPr>
                <w:rFonts w:ascii="Calibri" w:eastAsia="Times New Roman" w:hAnsi="Calibri" w:cs="Calibri"/>
                <w:b/>
                <w:bCs/>
                <w:sz w:val="20"/>
                <w:szCs w:val="20"/>
              </w:rPr>
            </w:pPr>
            <w:r w:rsidRPr="006507A9">
              <w:rPr>
                <w:rFonts w:ascii="Calibri" w:eastAsia="Times New Roman" w:hAnsi="Calibri" w:cs="Calibri"/>
                <w:b/>
                <w:bCs/>
                <w:sz w:val="20"/>
                <w:szCs w:val="20"/>
              </w:rPr>
              <w:t xml:space="preserve">$15.54 </w:t>
            </w:r>
          </w:p>
        </w:tc>
      </w:tr>
      <w:tr w:rsidR="00D71762" w:rsidRPr="00D71762" w14:paraId="317A75A2" w14:textId="77777777" w:rsidTr="00720970">
        <w:trPr>
          <w:trHeight w:val="255"/>
        </w:trPr>
        <w:tc>
          <w:tcPr>
            <w:tcW w:w="187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7776C71" w14:textId="77777777" w:rsidR="00D71762" w:rsidRPr="00D71762" w:rsidRDefault="00D71762" w:rsidP="00D71762">
            <w:pPr>
              <w:rPr>
                <w:rFonts w:ascii="Calibri" w:eastAsia="Times New Roman" w:hAnsi="Calibri" w:cs="Calibri"/>
                <w:sz w:val="20"/>
                <w:szCs w:val="20"/>
              </w:rPr>
            </w:pPr>
            <w:r w:rsidRPr="00D71762">
              <w:rPr>
                <w:rFonts w:ascii="Calibri" w:eastAsia="Times New Roman" w:hAnsi="Calibri" w:cs="Calibri"/>
                <w:sz w:val="20"/>
                <w:szCs w:val="20"/>
              </w:rPr>
              <w:t xml:space="preserve">5 </w:t>
            </w:r>
            <w:proofErr w:type="spellStart"/>
            <w:r w:rsidRPr="00D71762">
              <w:rPr>
                <w:rFonts w:ascii="Calibri" w:eastAsia="Times New Roman" w:hAnsi="Calibri" w:cs="Calibri"/>
                <w:sz w:val="20"/>
                <w:szCs w:val="20"/>
              </w:rPr>
              <w:t>Yr</w:t>
            </w:r>
            <w:proofErr w:type="spellEnd"/>
            <w:r w:rsidRPr="00D71762">
              <w:rPr>
                <w:rFonts w:ascii="Calibri" w:eastAsia="Times New Roman" w:hAnsi="Calibri" w:cs="Calibri"/>
                <w:sz w:val="20"/>
                <w:szCs w:val="20"/>
              </w:rPr>
              <w:t xml:space="preserve"> Average</w:t>
            </w:r>
          </w:p>
        </w:tc>
        <w:tc>
          <w:tcPr>
            <w:tcW w:w="1271" w:type="dxa"/>
            <w:tcBorders>
              <w:top w:val="nil"/>
              <w:left w:val="nil"/>
              <w:bottom w:val="single" w:sz="4" w:space="0" w:color="auto"/>
              <w:right w:val="single" w:sz="4" w:space="0" w:color="auto"/>
            </w:tcBorders>
            <w:shd w:val="clear" w:color="auto" w:fill="auto"/>
            <w:noWrap/>
            <w:vAlign w:val="bottom"/>
            <w:hideMark/>
          </w:tcPr>
          <w:p w14:paraId="3B882E07"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$69.50 </w:t>
            </w:r>
          </w:p>
        </w:tc>
        <w:tc>
          <w:tcPr>
            <w:tcW w:w="990" w:type="dxa"/>
            <w:tcBorders>
              <w:top w:val="nil"/>
              <w:left w:val="nil"/>
              <w:bottom w:val="single" w:sz="4" w:space="0" w:color="auto"/>
              <w:right w:val="single" w:sz="4" w:space="0" w:color="auto"/>
            </w:tcBorders>
            <w:shd w:val="clear" w:color="auto" w:fill="auto"/>
            <w:noWrap/>
            <w:vAlign w:val="bottom"/>
            <w:hideMark/>
          </w:tcPr>
          <w:p w14:paraId="725A897F"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$3.92 </w:t>
            </w:r>
          </w:p>
        </w:tc>
        <w:tc>
          <w:tcPr>
            <w:tcW w:w="943" w:type="dxa"/>
            <w:tcBorders>
              <w:top w:val="nil"/>
              <w:left w:val="nil"/>
              <w:bottom w:val="single" w:sz="4" w:space="0" w:color="auto"/>
              <w:right w:val="single" w:sz="4" w:space="0" w:color="auto"/>
            </w:tcBorders>
            <w:shd w:val="clear" w:color="auto" w:fill="auto"/>
            <w:noWrap/>
            <w:vAlign w:val="bottom"/>
            <w:hideMark/>
          </w:tcPr>
          <w:p w14:paraId="1659CDDE"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$75.34 </w:t>
            </w:r>
          </w:p>
        </w:tc>
        <w:tc>
          <w:tcPr>
            <w:tcW w:w="1217" w:type="dxa"/>
            <w:tcBorders>
              <w:top w:val="nil"/>
              <w:left w:val="nil"/>
              <w:bottom w:val="single" w:sz="4" w:space="0" w:color="auto"/>
              <w:right w:val="single" w:sz="4" w:space="0" w:color="auto"/>
            </w:tcBorders>
            <w:shd w:val="clear" w:color="auto" w:fill="auto"/>
            <w:noWrap/>
            <w:vAlign w:val="bottom"/>
            <w:hideMark/>
          </w:tcPr>
          <w:p w14:paraId="0E3B7386"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$35.11 </w:t>
            </w:r>
          </w:p>
        </w:tc>
        <w:tc>
          <w:tcPr>
            <w:tcW w:w="919" w:type="dxa"/>
            <w:tcBorders>
              <w:top w:val="nil"/>
              <w:left w:val="nil"/>
              <w:bottom w:val="single" w:sz="4" w:space="0" w:color="auto"/>
              <w:right w:val="single" w:sz="4" w:space="0" w:color="auto"/>
            </w:tcBorders>
            <w:shd w:val="clear" w:color="auto" w:fill="auto"/>
            <w:noWrap/>
            <w:vAlign w:val="bottom"/>
            <w:hideMark/>
          </w:tcPr>
          <w:p w14:paraId="19CBA629"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$40.23 </w:t>
            </w:r>
          </w:p>
        </w:tc>
        <w:tc>
          <w:tcPr>
            <w:tcW w:w="1068" w:type="dxa"/>
            <w:tcBorders>
              <w:top w:val="nil"/>
              <w:left w:val="nil"/>
              <w:bottom w:val="single" w:sz="4" w:space="0" w:color="auto"/>
              <w:right w:val="single" w:sz="4" w:space="0" w:color="auto"/>
            </w:tcBorders>
            <w:shd w:val="clear" w:color="auto" w:fill="auto"/>
            <w:noWrap/>
            <w:vAlign w:val="bottom"/>
            <w:hideMark/>
          </w:tcPr>
          <w:p w14:paraId="34B23B80"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$20.21 </w:t>
            </w:r>
          </w:p>
        </w:tc>
        <w:tc>
          <w:tcPr>
            <w:tcW w:w="1068" w:type="dxa"/>
            <w:tcBorders>
              <w:top w:val="nil"/>
              <w:left w:val="nil"/>
              <w:bottom w:val="single" w:sz="4" w:space="0" w:color="auto"/>
              <w:right w:val="single" w:sz="4" w:space="0" w:color="auto"/>
            </w:tcBorders>
            <w:shd w:val="clear" w:color="auto" w:fill="auto"/>
            <w:noWrap/>
            <w:vAlign w:val="bottom"/>
            <w:hideMark/>
          </w:tcPr>
          <w:p w14:paraId="34A177B7"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$19.98 </w:t>
            </w:r>
          </w:p>
        </w:tc>
      </w:tr>
      <w:tr w:rsidR="00D71762" w:rsidRPr="00D71762" w14:paraId="0E6E66EC" w14:textId="77777777" w:rsidTr="00720970">
        <w:trPr>
          <w:trHeight w:val="255"/>
        </w:trPr>
        <w:tc>
          <w:tcPr>
            <w:tcW w:w="187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1FF8CA3" w14:textId="77777777" w:rsidR="00D71762" w:rsidRPr="00D71762" w:rsidRDefault="00D71762" w:rsidP="00D71762">
            <w:pPr>
              <w:rPr>
                <w:rFonts w:ascii="Calibri" w:eastAsia="Times New Roman" w:hAnsi="Calibri" w:cs="Calibri"/>
                <w:sz w:val="20"/>
                <w:szCs w:val="20"/>
              </w:rPr>
            </w:pPr>
            <w:r w:rsidRPr="00D71762">
              <w:rPr>
                <w:rFonts w:ascii="Calibri" w:eastAsia="Times New Roman" w:hAnsi="Calibri" w:cs="Calibri"/>
                <w:sz w:val="20"/>
                <w:szCs w:val="20"/>
              </w:rPr>
              <w:t xml:space="preserve">10 </w:t>
            </w:r>
            <w:proofErr w:type="spellStart"/>
            <w:r w:rsidRPr="00D71762">
              <w:rPr>
                <w:rFonts w:ascii="Calibri" w:eastAsia="Times New Roman" w:hAnsi="Calibri" w:cs="Calibri"/>
                <w:sz w:val="20"/>
                <w:szCs w:val="20"/>
              </w:rPr>
              <w:t>Yr</w:t>
            </w:r>
            <w:proofErr w:type="spellEnd"/>
            <w:r w:rsidRPr="00D71762">
              <w:rPr>
                <w:rFonts w:ascii="Calibri" w:eastAsia="Times New Roman" w:hAnsi="Calibri" w:cs="Calibri"/>
                <w:sz w:val="20"/>
                <w:szCs w:val="20"/>
              </w:rPr>
              <w:t xml:space="preserve"> Average</w:t>
            </w:r>
          </w:p>
        </w:tc>
        <w:tc>
          <w:tcPr>
            <w:tcW w:w="1271" w:type="dxa"/>
            <w:tcBorders>
              <w:top w:val="nil"/>
              <w:left w:val="nil"/>
              <w:bottom w:val="single" w:sz="4" w:space="0" w:color="auto"/>
              <w:right w:val="single" w:sz="4" w:space="0" w:color="auto"/>
            </w:tcBorders>
            <w:shd w:val="clear" w:color="auto" w:fill="auto"/>
            <w:noWrap/>
            <w:vAlign w:val="bottom"/>
            <w:hideMark/>
          </w:tcPr>
          <w:p w14:paraId="03C31951"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$69.03 </w:t>
            </w:r>
          </w:p>
        </w:tc>
        <w:tc>
          <w:tcPr>
            <w:tcW w:w="990" w:type="dxa"/>
            <w:tcBorders>
              <w:top w:val="nil"/>
              <w:left w:val="nil"/>
              <w:bottom w:val="single" w:sz="4" w:space="0" w:color="auto"/>
              <w:right w:val="single" w:sz="4" w:space="0" w:color="auto"/>
            </w:tcBorders>
            <w:shd w:val="clear" w:color="auto" w:fill="auto"/>
            <w:noWrap/>
            <w:vAlign w:val="bottom"/>
            <w:hideMark/>
          </w:tcPr>
          <w:p w14:paraId="6EAEF291"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$10.17 </w:t>
            </w:r>
          </w:p>
        </w:tc>
        <w:tc>
          <w:tcPr>
            <w:tcW w:w="943" w:type="dxa"/>
            <w:tcBorders>
              <w:top w:val="nil"/>
              <w:left w:val="nil"/>
              <w:bottom w:val="single" w:sz="4" w:space="0" w:color="auto"/>
              <w:right w:val="single" w:sz="4" w:space="0" w:color="auto"/>
            </w:tcBorders>
            <w:shd w:val="clear" w:color="auto" w:fill="auto"/>
            <w:noWrap/>
            <w:vAlign w:val="bottom"/>
            <w:hideMark/>
          </w:tcPr>
          <w:p w14:paraId="489CA314"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$79.88 </w:t>
            </w:r>
          </w:p>
        </w:tc>
        <w:tc>
          <w:tcPr>
            <w:tcW w:w="1217" w:type="dxa"/>
            <w:tcBorders>
              <w:top w:val="nil"/>
              <w:left w:val="nil"/>
              <w:bottom w:val="single" w:sz="4" w:space="0" w:color="auto"/>
              <w:right w:val="single" w:sz="4" w:space="0" w:color="auto"/>
            </w:tcBorders>
            <w:shd w:val="clear" w:color="auto" w:fill="auto"/>
            <w:noWrap/>
            <w:vAlign w:val="bottom"/>
            <w:hideMark/>
          </w:tcPr>
          <w:p w14:paraId="3C292097"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$35.10 </w:t>
            </w:r>
          </w:p>
        </w:tc>
        <w:tc>
          <w:tcPr>
            <w:tcW w:w="919" w:type="dxa"/>
            <w:tcBorders>
              <w:top w:val="nil"/>
              <w:left w:val="nil"/>
              <w:bottom w:val="single" w:sz="4" w:space="0" w:color="auto"/>
              <w:right w:val="single" w:sz="4" w:space="0" w:color="auto"/>
            </w:tcBorders>
            <w:shd w:val="clear" w:color="auto" w:fill="auto"/>
            <w:noWrap/>
            <w:vAlign w:val="bottom"/>
            <w:hideMark/>
          </w:tcPr>
          <w:p w14:paraId="10D41108"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$44.76 </w:t>
            </w:r>
          </w:p>
        </w:tc>
        <w:tc>
          <w:tcPr>
            <w:tcW w:w="1068" w:type="dxa"/>
            <w:tcBorders>
              <w:top w:val="nil"/>
              <w:left w:val="nil"/>
              <w:bottom w:val="single" w:sz="4" w:space="0" w:color="auto"/>
              <w:right w:val="single" w:sz="4" w:space="0" w:color="auto"/>
            </w:tcBorders>
            <w:shd w:val="clear" w:color="auto" w:fill="auto"/>
            <w:noWrap/>
            <w:vAlign w:val="bottom"/>
            <w:hideMark/>
          </w:tcPr>
          <w:p w14:paraId="329E2105"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$22.39 </w:t>
            </w:r>
          </w:p>
        </w:tc>
        <w:tc>
          <w:tcPr>
            <w:tcW w:w="1068" w:type="dxa"/>
            <w:tcBorders>
              <w:top w:val="nil"/>
              <w:left w:val="nil"/>
              <w:bottom w:val="single" w:sz="4" w:space="0" w:color="auto"/>
              <w:right w:val="single" w:sz="4" w:space="0" w:color="auto"/>
            </w:tcBorders>
            <w:shd w:val="clear" w:color="auto" w:fill="auto"/>
            <w:noWrap/>
            <w:vAlign w:val="bottom"/>
            <w:hideMark/>
          </w:tcPr>
          <w:p w14:paraId="776590BC"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$22.15 </w:t>
            </w:r>
          </w:p>
        </w:tc>
      </w:tr>
      <w:tr w:rsidR="00D71762" w:rsidRPr="00D71762" w14:paraId="4E93FC0E" w14:textId="77777777" w:rsidTr="00720970">
        <w:trPr>
          <w:trHeight w:val="255"/>
        </w:trPr>
        <w:tc>
          <w:tcPr>
            <w:tcW w:w="187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C6F317E" w14:textId="77777777" w:rsidR="00D71762" w:rsidRPr="00D71762" w:rsidRDefault="00D71762" w:rsidP="00D71762">
            <w:pPr>
              <w:rPr>
                <w:rFonts w:ascii="Calibri" w:eastAsia="Times New Roman" w:hAnsi="Calibri" w:cs="Calibri"/>
                <w:sz w:val="20"/>
                <w:szCs w:val="20"/>
              </w:rPr>
            </w:pPr>
            <w:r w:rsidRPr="00D71762">
              <w:rPr>
                <w:rFonts w:ascii="Calibri" w:eastAsia="Times New Roman" w:hAnsi="Calibri" w:cs="Calibri"/>
                <w:sz w:val="20"/>
                <w:szCs w:val="20"/>
              </w:rPr>
              <w:t xml:space="preserve">15 </w:t>
            </w:r>
            <w:proofErr w:type="spellStart"/>
            <w:r w:rsidRPr="00D71762">
              <w:rPr>
                <w:rFonts w:ascii="Calibri" w:eastAsia="Times New Roman" w:hAnsi="Calibri" w:cs="Calibri"/>
                <w:sz w:val="20"/>
                <w:szCs w:val="20"/>
              </w:rPr>
              <w:t>Yr</w:t>
            </w:r>
            <w:proofErr w:type="spellEnd"/>
            <w:r w:rsidRPr="00D71762">
              <w:rPr>
                <w:rFonts w:ascii="Calibri" w:eastAsia="Times New Roman" w:hAnsi="Calibri" w:cs="Calibri"/>
                <w:sz w:val="20"/>
                <w:szCs w:val="20"/>
              </w:rPr>
              <w:t xml:space="preserve"> Average</w:t>
            </w:r>
          </w:p>
        </w:tc>
        <w:tc>
          <w:tcPr>
            <w:tcW w:w="1271" w:type="dxa"/>
            <w:tcBorders>
              <w:top w:val="nil"/>
              <w:left w:val="nil"/>
              <w:bottom w:val="single" w:sz="4" w:space="0" w:color="auto"/>
              <w:right w:val="single" w:sz="4" w:space="0" w:color="auto"/>
            </w:tcBorders>
            <w:shd w:val="clear" w:color="auto" w:fill="auto"/>
            <w:noWrap/>
            <w:vAlign w:val="bottom"/>
            <w:hideMark/>
          </w:tcPr>
          <w:p w14:paraId="10CA8CBD"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$62.53 </w:t>
            </w:r>
          </w:p>
        </w:tc>
        <w:tc>
          <w:tcPr>
            <w:tcW w:w="990" w:type="dxa"/>
            <w:tcBorders>
              <w:top w:val="nil"/>
              <w:left w:val="nil"/>
              <w:bottom w:val="single" w:sz="4" w:space="0" w:color="auto"/>
              <w:right w:val="single" w:sz="4" w:space="0" w:color="auto"/>
            </w:tcBorders>
            <w:shd w:val="clear" w:color="auto" w:fill="auto"/>
            <w:noWrap/>
            <w:vAlign w:val="bottom"/>
            <w:hideMark/>
          </w:tcPr>
          <w:p w14:paraId="4585D998"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$15.82 </w:t>
            </w:r>
          </w:p>
        </w:tc>
        <w:tc>
          <w:tcPr>
            <w:tcW w:w="943" w:type="dxa"/>
            <w:tcBorders>
              <w:top w:val="nil"/>
              <w:left w:val="nil"/>
              <w:bottom w:val="single" w:sz="4" w:space="0" w:color="auto"/>
              <w:right w:val="single" w:sz="4" w:space="0" w:color="auto"/>
            </w:tcBorders>
            <w:shd w:val="clear" w:color="auto" w:fill="auto"/>
            <w:noWrap/>
            <w:vAlign w:val="bottom"/>
            <w:hideMark/>
          </w:tcPr>
          <w:p w14:paraId="3AF97921"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$79.68 </w:t>
            </w:r>
          </w:p>
        </w:tc>
        <w:tc>
          <w:tcPr>
            <w:tcW w:w="1217" w:type="dxa"/>
            <w:tcBorders>
              <w:top w:val="nil"/>
              <w:left w:val="nil"/>
              <w:bottom w:val="single" w:sz="4" w:space="0" w:color="auto"/>
              <w:right w:val="single" w:sz="4" w:space="0" w:color="auto"/>
            </w:tcBorders>
            <w:shd w:val="clear" w:color="auto" w:fill="auto"/>
            <w:noWrap/>
            <w:vAlign w:val="bottom"/>
            <w:hideMark/>
          </w:tcPr>
          <w:p w14:paraId="0FA8C9D2"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$30.17 </w:t>
            </w:r>
          </w:p>
        </w:tc>
        <w:tc>
          <w:tcPr>
            <w:tcW w:w="919" w:type="dxa"/>
            <w:tcBorders>
              <w:top w:val="nil"/>
              <w:left w:val="nil"/>
              <w:bottom w:val="single" w:sz="4" w:space="0" w:color="auto"/>
              <w:right w:val="single" w:sz="4" w:space="0" w:color="auto"/>
            </w:tcBorders>
            <w:shd w:val="clear" w:color="auto" w:fill="auto"/>
            <w:noWrap/>
            <w:vAlign w:val="bottom"/>
            <w:hideMark/>
          </w:tcPr>
          <w:p w14:paraId="5953472B"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$49.50 </w:t>
            </w:r>
          </w:p>
        </w:tc>
        <w:tc>
          <w:tcPr>
            <w:tcW w:w="1068" w:type="dxa"/>
            <w:tcBorders>
              <w:top w:val="nil"/>
              <w:left w:val="nil"/>
              <w:bottom w:val="single" w:sz="4" w:space="0" w:color="auto"/>
              <w:right w:val="single" w:sz="4" w:space="0" w:color="auto"/>
            </w:tcBorders>
            <w:shd w:val="clear" w:color="auto" w:fill="auto"/>
            <w:noWrap/>
            <w:vAlign w:val="bottom"/>
            <w:hideMark/>
          </w:tcPr>
          <w:p w14:paraId="6ADE1A34"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$24.79 </w:t>
            </w:r>
          </w:p>
        </w:tc>
        <w:tc>
          <w:tcPr>
            <w:tcW w:w="1068" w:type="dxa"/>
            <w:tcBorders>
              <w:top w:val="nil"/>
              <w:left w:val="nil"/>
              <w:bottom w:val="single" w:sz="4" w:space="0" w:color="auto"/>
              <w:right w:val="single" w:sz="4" w:space="0" w:color="auto"/>
            </w:tcBorders>
            <w:shd w:val="clear" w:color="auto" w:fill="auto"/>
            <w:noWrap/>
            <w:vAlign w:val="bottom"/>
            <w:hideMark/>
          </w:tcPr>
          <w:p w14:paraId="65A03812"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$24.52 </w:t>
            </w:r>
          </w:p>
        </w:tc>
      </w:tr>
      <w:tr w:rsidR="00D71762" w:rsidRPr="00D71762" w14:paraId="3F704029" w14:textId="77777777" w:rsidTr="00720970">
        <w:trPr>
          <w:trHeight w:val="255"/>
        </w:trPr>
        <w:tc>
          <w:tcPr>
            <w:tcW w:w="187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E39860C" w14:textId="77777777" w:rsidR="00D71762" w:rsidRPr="00D71762" w:rsidRDefault="00D71762" w:rsidP="00D71762">
            <w:pPr>
              <w:rPr>
                <w:rFonts w:ascii="Calibri" w:eastAsia="Times New Roman" w:hAnsi="Calibri" w:cs="Calibri"/>
                <w:sz w:val="20"/>
                <w:szCs w:val="20"/>
              </w:rPr>
            </w:pPr>
            <w:r w:rsidRPr="00D71762">
              <w:rPr>
                <w:rFonts w:ascii="Calibri" w:eastAsia="Times New Roman" w:hAnsi="Calibri" w:cs="Calibri"/>
                <w:sz w:val="20"/>
                <w:szCs w:val="20"/>
              </w:rPr>
              <w:t xml:space="preserve">20 </w:t>
            </w:r>
            <w:proofErr w:type="spellStart"/>
            <w:r w:rsidRPr="00D71762">
              <w:rPr>
                <w:rFonts w:ascii="Calibri" w:eastAsia="Times New Roman" w:hAnsi="Calibri" w:cs="Calibri"/>
                <w:sz w:val="20"/>
                <w:szCs w:val="20"/>
              </w:rPr>
              <w:t>Yr</w:t>
            </w:r>
            <w:proofErr w:type="spellEnd"/>
            <w:r w:rsidRPr="00D71762">
              <w:rPr>
                <w:rFonts w:ascii="Calibri" w:eastAsia="Times New Roman" w:hAnsi="Calibri" w:cs="Calibri"/>
                <w:sz w:val="20"/>
                <w:szCs w:val="20"/>
              </w:rPr>
              <w:t xml:space="preserve"> Average</w:t>
            </w:r>
          </w:p>
        </w:tc>
        <w:tc>
          <w:tcPr>
            <w:tcW w:w="1271" w:type="dxa"/>
            <w:tcBorders>
              <w:top w:val="nil"/>
              <w:left w:val="nil"/>
              <w:bottom w:val="single" w:sz="4" w:space="0" w:color="auto"/>
              <w:right w:val="single" w:sz="4" w:space="0" w:color="auto"/>
            </w:tcBorders>
            <w:shd w:val="clear" w:color="auto" w:fill="auto"/>
            <w:noWrap/>
            <w:vAlign w:val="bottom"/>
            <w:hideMark/>
          </w:tcPr>
          <w:p w14:paraId="1FD82F7C"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$60.67 </w:t>
            </w:r>
          </w:p>
        </w:tc>
        <w:tc>
          <w:tcPr>
            <w:tcW w:w="990" w:type="dxa"/>
            <w:tcBorders>
              <w:top w:val="nil"/>
              <w:left w:val="nil"/>
              <w:bottom w:val="single" w:sz="4" w:space="0" w:color="auto"/>
              <w:right w:val="single" w:sz="4" w:space="0" w:color="auto"/>
            </w:tcBorders>
            <w:shd w:val="clear" w:color="auto" w:fill="auto"/>
            <w:noWrap/>
            <w:vAlign w:val="bottom"/>
            <w:hideMark/>
          </w:tcPr>
          <w:p w14:paraId="43A27992"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$18.67 </w:t>
            </w:r>
          </w:p>
        </w:tc>
        <w:tc>
          <w:tcPr>
            <w:tcW w:w="943" w:type="dxa"/>
            <w:tcBorders>
              <w:top w:val="nil"/>
              <w:left w:val="nil"/>
              <w:bottom w:val="single" w:sz="4" w:space="0" w:color="auto"/>
              <w:right w:val="single" w:sz="4" w:space="0" w:color="auto"/>
            </w:tcBorders>
            <w:shd w:val="clear" w:color="auto" w:fill="auto"/>
            <w:noWrap/>
            <w:vAlign w:val="bottom"/>
            <w:hideMark/>
          </w:tcPr>
          <w:p w14:paraId="4B1EA17E"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$79.51 </w:t>
            </w:r>
          </w:p>
        </w:tc>
        <w:tc>
          <w:tcPr>
            <w:tcW w:w="1217" w:type="dxa"/>
            <w:tcBorders>
              <w:top w:val="nil"/>
              <w:left w:val="nil"/>
              <w:bottom w:val="single" w:sz="4" w:space="0" w:color="auto"/>
              <w:right w:val="single" w:sz="4" w:space="0" w:color="auto"/>
            </w:tcBorders>
            <w:shd w:val="clear" w:color="auto" w:fill="auto"/>
            <w:noWrap/>
            <w:vAlign w:val="bottom"/>
            <w:hideMark/>
          </w:tcPr>
          <w:p w14:paraId="7126353D"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$27.49 </w:t>
            </w:r>
          </w:p>
        </w:tc>
        <w:tc>
          <w:tcPr>
            <w:tcW w:w="919" w:type="dxa"/>
            <w:tcBorders>
              <w:top w:val="nil"/>
              <w:left w:val="nil"/>
              <w:bottom w:val="single" w:sz="4" w:space="0" w:color="auto"/>
              <w:right w:val="single" w:sz="4" w:space="0" w:color="auto"/>
            </w:tcBorders>
            <w:shd w:val="clear" w:color="auto" w:fill="auto"/>
            <w:noWrap/>
            <w:vAlign w:val="bottom"/>
            <w:hideMark/>
          </w:tcPr>
          <w:p w14:paraId="61D55686"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$52.02 </w:t>
            </w:r>
          </w:p>
        </w:tc>
        <w:tc>
          <w:tcPr>
            <w:tcW w:w="1068" w:type="dxa"/>
            <w:tcBorders>
              <w:top w:val="nil"/>
              <w:left w:val="nil"/>
              <w:bottom w:val="single" w:sz="4" w:space="0" w:color="auto"/>
              <w:right w:val="single" w:sz="4" w:space="0" w:color="auto"/>
            </w:tcBorders>
            <w:shd w:val="clear" w:color="auto" w:fill="auto"/>
            <w:noWrap/>
            <w:vAlign w:val="bottom"/>
            <w:hideMark/>
          </w:tcPr>
          <w:p w14:paraId="50654C23"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$25.95 </w:t>
            </w:r>
          </w:p>
        </w:tc>
        <w:tc>
          <w:tcPr>
            <w:tcW w:w="1068" w:type="dxa"/>
            <w:tcBorders>
              <w:top w:val="nil"/>
              <w:left w:val="nil"/>
              <w:bottom w:val="single" w:sz="4" w:space="0" w:color="auto"/>
              <w:right w:val="single" w:sz="4" w:space="0" w:color="auto"/>
            </w:tcBorders>
            <w:shd w:val="clear" w:color="auto" w:fill="auto"/>
            <w:noWrap/>
            <w:vAlign w:val="bottom"/>
            <w:hideMark/>
          </w:tcPr>
          <w:p w14:paraId="5926C569"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$25.71 </w:t>
            </w:r>
          </w:p>
        </w:tc>
      </w:tr>
      <w:tr w:rsidR="00D71762" w:rsidRPr="00D71762" w14:paraId="388508C3" w14:textId="77777777" w:rsidTr="00720970">
        <w:trPr>
          <w:trHeight w:val="255"/>
        </w:trPr>
        <w:tc>
          <w:tcPr>
            <w:tcW w:w="187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05A37C4" w14:textId="77777777" w:rsidR="00D71762" w:rsidRPr="00D71762" w:rsidRDefault="00D71762" w:rsidP="00D71762">
            <w:pPr>
              <w:rPr>
                <w:rFonts w:ascii="Calibri" w:eastAsia="Times New Roman" w:hAnsi="Calibri" w:cs="Calibri"/>
                <w:sz w:val="20"/>
                <w:szCs w:val="20"/>
              </w:rPr>
            </w:pPr>
            <w:r w:rsidRPr="00D71762">
              <w:rPr>
                <w:rFonts w:ascii="Calibri" w:eastAsia="Times New Roman" w:hAnsi="Calibri" w:cs="Calibri"/>
                <w:sz w:val="20"/>
                <w:szCs w:val="20"/>
              </w:rPr>
              <w:t xml:space="preserve">25 </w:t>
            </w:r>
            <w:proofErr w:type="spellStart"/>
            <w:r w:rsidRPr="00D71762">
              <w:rPr>
                <w:rFonts w:ascii="Calibri" w:eastAsia="Times New Roman" w:hAnsi="Calibri" w:cs="Calibri"/>
                <w:sz w:val="20"/>
                <w:szCs w:val="20"/>
              </w:rPr>
              <w:t>Yr</w:t>
            </w:r>
            <w:proofErr w:type="spellEnd"/>
            <w:r w:rsidRPr="00D71762">
              <w:rPr>
                <w:rFonts w:ascii="Calibri" w:eastAsia="Times New Roman" w:hAnsi="Calibri" w:cs="Calibri"/>
                <w:sz w:val="20"/>
                <w:szCs w:val="20"/>
              </w:rPr>
              <w:t xml:space="preserve"> Average</w:t>
            </w:r>
          </w:p>
        </w:tc>
        <w:tc>
          <w:tcPr>
            <w:tcW w:w="1271" w:type="dxa"/>
            <w:tcBorders>
              <w:top w:val="nil"/>
              <w:left w:val="nil"/>
              <w:bottom w:val="single" w:sz="4" w:space="0" w:color="auto"/>
              <w:right w:val="single" w:sz="4" w:space="0" w:color="auto"/>
            </w:tcBorders>
            <w:shd w:val="clear" w:color="auto" w:fill="auto"/>
            <w:noWrap/>
            <w:vAlign w:val="bottom"/>
            <w:hideMark/>
          </w:tcPr>
          <w:p w14:paraId="301A2FFF"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$60.46 </w:t>
            </w:r>
          </w:p>
        </w:tc>
        <w:tc>
          <w:tcPr>
            <w:tcW w:w="990" w:type="dxa"/>
            <w:tcBorders>
              <w:top w:val="nil"/>
              <w:left w:val="nil"/>
              <w:bottom w:val="single" w:sz="4" w:space="0" w:color="auto"/>
              <w:right w:val="single" w:sz="4" w:space="0" w:color="auto"/>
            </w:tcBorders>
            <w:shd w:val="clear" w:color="auto" w:fill="auto"/>
            <w:noWrap/>
            <w:vAlign w:val="bottom"/>
            <w:hideMark/>
          </w:tcPr>
          <w:p w14:paraId="77B022A6"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$19.80 </w:t>
            </w:r>
          </w:p>
        </w:tc>
        <w:tc>
          <w:tcPr>
            <w:tcW w:w="943" w:type="dxa"/>
            <w:tcBorders>
              <w:top w:val="nil"/>
              <w:left w:val="nil"/>
              <w:bottom w:val="single" w:sz="4" w:space="0" w:color="auto"/>
              <w:right w:val="single" w:sz="4" w:space="0" w:color="auto"/>
            </w:tcBorders>
            <w:shd w:val="clear" w:color="auto" w:fill="auto"/>
            <w:noWrap/>
            <w:vAlign w:val="bottom"/>
            <w:hideMark/>
          </w:tcPr>
          <w:p w14:paraId="3B2E326A"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$80.86 </w:t>
            </w:r>
          </w:p>
        </w:tc>
        <w:tc>
          <w:tcPr>
            <w:tcW w:w="1217" w:type="dxa"/>
            <w:tcBorders>
              <w:top w:val="nil"/>
              <w:left w:val="nil"/>
              <w:bottom w:val="single" w:sz="4" w:space="0" w:color="auto"/>
              <w:right w:val="single" w:sz="4" w:space="0" w:color="auto"/>
            </w:tcBorders>
            <w:shd w:val="clear" w:color="auto" w:fill="auto"/>
            <w:noWrap/>
            <w:vAlign w:val="bottom"/>
            <w:hideMark/>
          </w:tcPr>
          <w:p w14:paraId="7650ECF0"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$27.37 </w:t>
            </w:r>
          </w:p>
        </w:tc>
        <w:tc>
          <w:tcPr>
            <w:tcW w:w="919" w:type="dxa"/>
            <w:tcBorders>
              <w:top w:val="nil"/>
              <w:left w:val="nil"/>
              <w:bottom w:val="single" w:sz="4" w:space="0" w:color="auto"/>
              <w:right w:val="single" w:sz="4" w:space="0" w:color="auto"/>
            </w:tcBorders>
            <w:shd w:val="clear" w:color="auto" w:fill="auto"/>
            <w:noWrap/>
            <w:vAlign w:val="bottom"/>
            <w:hideMark/>
          </w:tcPr>
          <w:p w14:paraId="199EAAA0"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$53.49 </w:t>
            </w:r>
          </w:p>
        </w:tc>
        <w:tc>
          <w:tcPr>
            <w:tcW w:w="1068" w:type="dxa"/>
            <w:tcBorders>
              <w:top w:val="nil"/>
              <w:left w:val="nil"/>
              <w:bottom w:val="single" w:sz="4" w:space="0" w:color="auto"/>
              <w:right w:val="single" w:sz="4" w:space="0" w:color="auto"/>
            </w:tcBorders>
            <w:shd w:val="clear" w:color="auto" w:fill="auto"/>
            <w:noWrap/>
            <w:vAlign w:val="bottom"/>
            <w:hideMark/>
          </w:tcPr>
          <w:p w14:paraId="77048447"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$26.66 </w:t>
            </w:r>
          </w:p>
        </w:tc>
        <w:tc>
          <w:tcPr>
            <w:tcW w:w="1068" w:type="dxa"/>
            <w:tcBorders>
              <w:top w:val="nil"/>
              <w:left w:val="nil"/>
              <w:bottom w:val="single" w:sz="4" w:space="0" w:color="auto"/>
              <w:right w:val="single" w:sz="4" w:space="0" w:color="auto"/>
            </w:tcBorders>
            <w:shd w:val="clear" w:color="auto" w:fill="auto"/>
            <w:noWrap/>
            <w:vAlign w:val="bottom"/>
            <w:hideMark/>
          </w:tcPr>
          <w:p w14:paraId="035394ED"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$26.47 </w:t>
            </w:r>
          </w:p>
        </w:tc>
      </w:tr>
      <w:tr w:rsidR="00D71762" w:rsidRPr="00D71762" w14:paraId="1FE66685" w14:textId="77777777" w:rsidTr="00720970">
        <w:trPr>
          <w:trHeight w:val="255"/>
        </w:trPr>
        <w:tc>
          <w:tcPr>
            <w:tcW w:w="187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2ADF150" w14:textId="77777777" w:rsidR="00D71762" w:rsidRPr="00D71762" w:rsidRDefault="00D71762" w:rsidP="00D71762">
            <w:pPr>
              <w:rPr>
                <w:rFonts w:ascii="Calibri" w:eastAsia="Times New Roman" w:hAnsi="Calibri" w:cs="Calibri"/>
                <w:sz w:val="20"/>
                <w:szCs w:val="20"/>
              </w:rPr>
            </w:pPr>
            <w:r w:rsidRPr="00D71762">
              <w:rPr>
                <w:rFonts w:ascii="Calibri" w:eastAsia="Times New Roman" w:hAnsi="Calibri" w:cs="Calibri"/>
                <w:sz w:val="20"/>
                <w:szCs w:val="20"/>
              </w:rPr>
              <w:t xml:space="preserve">30 </w:t>
            </w:r>
            <w:proofErr w:type="spellStart"/>
            <w:r w:rsidRPr="00D71762">
              <w:rPr>
                <w:rFonts w:ascii="Calibri" w:eastAsia="Times New Roman" w:hAnsi="Calibri" w:cs="Calibri"/>
                <w:sz w:val="20"/>
                <w:szCs w:val="20"/>
              </w:rPr>
              <w:t>Yr</w:t>
            </w:r>
            <w:proofErr w:type="spellEnd"/>
            <w:r w:rsidRPr="00D71762">
              <w:rPr>
                <w:rFonts w:ascii="Calibri" w:eastAsia="Times New Roman" w:hAnsi="Calibri" w:cs="Calibri"/>
                <w:sz w:val="20"/>
                <w:szCs w:val="20"/>
              </w:rPr>
              <w:t xml:space="preserve"> Average</w:t>
            </w:r>
          </w:p>
        </w:tc>
        <w:tc>
          <w:tcPr>
            <w:tcW w:w="1271" w:type="dxa"/>
            <w:tcBorders>
              <w:top w:val="nil"/>
              <w:left w:val="nil"/>
              <w:bottom w:val="single" w:sz="4" w:space="0" w:color="auto"/>
              <w:right w:val="single" w:sz="4" w:space="0" w:color="auto"/>
            </w:tcBorders>
            <w:shd w:val="clear" w:color="auto" w:fill="auto"/>
            <w:noWrap/>
            <w:vAlign w:val="bottom"/>
            <w:hideMark/>
          </w:tcPr>
          <w:p w14:paraId="460F7E0D"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$60.15 </w:t>
            </w:r>
          </w:p>
        </w:tc>
        <w:tc>
          <w:tcPr>
            <w:tcW w:w="990" w:type="dxa"/>
            <w:tcBorders>
              <w:top w:val="nil"/>
              <w:left w:val="nil"/>
              <w:bottom w:val="single" w:sz="4" w:space="0" w:color="auto"/>
              <w:right w:val="single" w:sz="4" w:space="0" w:color="auto"/>
            </w:tcBorders>
            <w:shd w:val="clear" w:color="auto" w:fill="auto"/>
            <w:noWrap/>
            <w:vAlign w:val="bottom"/>
            <w:hideMark/>
          </w:tcPr>
          <w:p w14:paraId="5B639974"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$18.96 </w:t>
            </w:r>
          </w:p>
        </w:tc>
        <w:tc>
          <w:tcPr>
            <w:tcW w:w="943" w:type="dxa"/>
            <w:tcBorders>
              <w:top w:val="nil"/>
              <w:left w:val="nil"/>
              <w:bottom w:val="single" w:sz="4" w:space="0" w:color="auto"/>
              <w:right w:val="single" w:sz="4" w:space="0" w:color="auto"/>
            </w:tcBorders>
            <w:shd w:val="clear" w:color="auto" w:fill="auto"/>
            <w:noWrap/>
            <w:vAlign w:val="bottom"/>
            <w:hideMark/>
          </w:tcPr>
          <w:p w14:paraId="1702E417"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$79.10 </w:t>
            </w:r>
          </w:p>
        </w:tc>
        <w:tc>
          <w:tcPr>
            <w:tcW w:w="1217" w:type="dxa"/>
            <w:tcBorders>
              <w:top w:val="nil"/>
              <w:left w:val="nil"/>
              <w:bottom w:val="single" w:sz="4" w:space="0" w:color="auto"/>
              <w:right w:val="single" w:sz="4" w:space="0" w:color="auto"/>
            </w:tcBorders>
            <w:shd w:val="clear" w:color="auto" w:fill="auto"/>
            <w:noWrap/>
            <w:vAlign w:val="bottom"/>
            <w:hideMark/>
          </w:tcPr>
          <w:p w14:paraId="64F4FDE0"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$25.40 </w:t>
            </w:r>
          </w:p>
        </w:tc>
        <w:tc>
          <w:tcPr>
            <w:tcW w:w="919" w:type="dxa"/>
            <w:tcBorders>
              <w:top w:val="nil"/>
              <w:left w:val="nil"/>
              <w:bottom w:val="single" w:sz="4" w:space="0" w:color="auto"/>
              <w:right w:val="single" w:sz="4" w:space="0" w:color="auto"/>
            </w:tcBorders>
            <w:shd w:val="clear" w:color="auto" w:fill="auto"/>
            <w:noWrap/>
            <w:vAlign w:val="bottom"/>
            <w:hideMark/>
          </w:tcPr>
          <w:p w14:paraId="25BC6B12"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$53.70 </w:t>
            </w:r>
          </w:p>
        </w:tc>
        <w:tc>
          <w:tcPr>
            <w:tcW w:w="1068" w:type="dxa"/>
            <w:tcBorders>
              <w:top w:val="nil"/>
              <w:left w:val="nil"/>
              <w:bottom w:val="single" w:sz="4" w:space="0" w:color="auto"/>
              <w:right w:val="single" w:sz="4" w:space="0" w:color="auto"/>
            </w:tcBorders>
            <w:shd w:val="clear" w:color="auto" w:fill="auto"/>
            <w:noWrap/>
            <w:vAlign w:val="bottom"/>
            <w:hideMark/>
          </w:tcPr>
          <w:p w14:paraId="48644C35"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$26.78 </w:t>
            </w:r>
          </w:p>
        </w:tc>
        <w:tc>
          <w:tcPr>
            <w:tcW w:w="1068" w:type="dxa"/>
            <w:tcBorders>
              <w:top w:val="nil"/>
              <w:left w:val="nil"/>
              <w:bottom w:val="single" w:sz="4" w:space="0" w:color="auto"/>
              <w:right w:val="single" w:sz="4" w:space="0" w:color="auto"/>
            </w:tcBorders>
            <w:shd w:val="clear" w:color="auto" w:fill="auto"/>
            <w:noWrap/>
            <w:vAlign w:val="bottom"/>
            <w:hideMark/>
          </w:tcPr>
          <w:p w14:paraId="4ACC6FB6"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$26.62 </w:t>
            </w:r>
          </w:p>
        </w:tc>
      </w:tr>
      <w:tr w:rsidR="00D71762" w:rsidRPr="00D71762" w14:paraId="0AA65764" w14:textId="77777777" w:rsidTr="00720970">
        <w:trPr>
          <w:trHeight w:val="255"/>
        </w:trPr>
        <w:tc>
          <w:tcPr>
            <w:tcW w:w="187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4F7C824" w14:textId="77777777" w:rsidR="00D71762" w:rsidRPr="00D71762" w:rsidRDefault="00D71762" w:rsidP="00D71762">
            <w:pPr>
              <w:rPr>
                <w:rFonts w:ascii="Calibri" w:eastAsia="Times New Roman" w:hAnsi="Calibri" w:cs="Calibri"/>
                <w:sz w:val="20"/>
                <w:szCs w:val="20"/>
              </w:rPr>
            </w:pPr>
            <w:r w:rsidRPr="00D71762">
              <w:rPr>
                <w:rFonts w:ascii="Calibri" w:eastAsia="Times New Roman" w:hAnsi="Calibri" w:cs="Calibri"/>
                <w:sz w:val="20"/>
                <w:szCs w:val="20"/>
              </w:rPr>
              <w:t>Avg Since Inception</w:t>
            </w:r>
          </w:p>
        </w:tc>
        <w:tc>
          <w:tcPr>
            <w:tcW w:w="1271" w:type="dxa"/>
            <w:tcBorders>
              <w:top w:val="nil"/>
              <w:left w:val="nil"/>
              <w:bottom w:val="single" w:sz="4" w:space="0" w:color="auto"/>
              <w:right w:val="single" w:sz="4" w:space="0" w:color="auto"/>
            </w:tcBorders>
            <w:shd w:val="clear" w:color="auto" w:fill="auto"/>
            <w:noWrap/>
            <w:vAlign w:val="bottom"/>
            <w:hideMark/>
          </w:tcPr>
          <w:p w14:paraId="10C60664"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$57.67 </w:t>
            </w:r>
          </w:p>
        </w:tc>
        <w:tc>
          <w:tcPr>
            <w:tcW w:w="990" w:type="dxa"/>
            <w:tcBorders>
              <w:top w:val="nil"/>
              <w:left w:val="nil"/>
              <w:bottom w:val="single" w:sz="4" w:space="0" w:color="auto"/>
              <w:right w:val="single" w:sz="4" w:space="0" w:color="auto"/>
            </w:tcBorders>
            <w:shd w:val="clear" w:color="auto" w:fill="auto"/>
            <w:noWrap/>
            <w:vAlign w:val="bottom"/>
            <w:hideMark/>
          </w:tcPr>
          <w:p w14:paraId="17EFE0BB"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$18.56 </w:t>
            </w:r>
          </w:p>
        </w:tc>
        <w:tc>
          <w:tcPr>
            <w:tcW w:w="943" w:type="dxa"/>
            <w:tcBorders>
              <w:top w:val="nil"/>
              <w:left w:val="nil"/>
              <w:bottom w:val="single" w:sz="4" w:space="0" w:color="auto"/>
              <w:right w:val="single" w:sz="4" w:space="0" w:color="auto"/>
            </w:tcBorders>
            <w:shd w:val="clear" w:color="auto" w:fill="auto"/>
            <w:noWrap/>
            <w:vAlign w:val="bottom"/>
            <w:hideMark/>
          </w:tcPr>
          <w:p w14:paraId="688D1476"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$76.76 </w:t>
            </w:r>
          </w:p>
        </w:tc>
        <w:tc>
          <w:tcPr>
            <w:tcW w:w="1217" w:type="dxa"/>
            <w:tcBorders>
              <w:top w:val="nil"/>
              <w:left w:val="nil"/>
              <w:bottom w:val="single" w:sz="4" w:space="0" w:color="auto"/>
              <w:right w:val="single" w:sz="4" w:space="0" w:color="auto"/>
            </w:tcBorders>
            <w:shd w:val="clear" w:color="auto" w:fill="auto"/>
            <w:noWrap/>
            <w:vAlign w:val="bottom"/>
            <w:hideMark/>
          </w:tcPr>
          <w:p w14:paraId="0756EB5B"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$24.39 </w:t>
            </w:r>
          </w:p>
        </w:tc>
        <w:tc>
          <w:tcPr>
            <w:tcW w:w="919" w:type="dxa"/>
            <w:tcBorders>
              <w:top w:val="nil"/>
              <w:left w:val="nil"/>
              <w:bottom w:val="single" w:sz="4" w:space="0" w:color="auto"/>
              <w:right w:val="single" w:sz="4" w:space="0" w:color="auto"/>
            </w:tcBorders>
            <w:shd w:val="clear" w:color="auto" w:fill="auto"/>
            <w:noWrap/>
            <w:vAlign w:val="bottom"/>
            <w:hideMark/>
          </w:tcPr>
          <w:p w14:paraId="2C8FB888"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$52.37 </w:t>
            </w:r>
          </w:p>
        </w:tc>
        <w:tc>
          <w:tcPr>
            <w:tcW w:w="1068" w:type="dxa"/>
            <w:tcBorders>
              <w:top w:val="nil"/>
              <w:left w:val="nil"/>
              <w:bottom w:val="single" w:sz="4" w:space="0" w:color="auto"/>
              <w:right w:val="single" w:sz="4" w:space="0" w:color="auto"/>
            </w:tcBorders>
            <w:shd w:val="clear" w:color="auto" w:fill="auto"/>
            <w:noWrap/>
            <w:vAlign w:val="bottom"/>
            <w:hideMark/>
          </w:tcPr>
          <w:p w14:paraId="20A71545"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$26.12 </w:t>
            </w:r>
          </w:p>
        </w:tc>
        <w:tc>
          <w:tcPr>
            <w:tcW w:w="1068" w:type="dxa"/>
            <w:tcBorders>
              <w:top w:val="nil"/>
              <w:left w:val="nil"/>
              <w:bottom w:val="single" w:sz="4" w:space="0" w:color="auto"/>
              <w:right w:val="single" w:sz="4" w:space="0" w:color="auto"/>
            </w:tcBorders>
            <w:shd w:val="clear" w:color="auto" w:fill="auto"/>
            <w:noWrap/>
            <w:vAlign w:val="bottom"/>
            <w:hideMark/>
          </w:tcPr>
          <w:p w14:paraId="44E7C611"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$25.99 </w:t>
            </w:r>
          </w:p>
        </w:tc>
      </w:tr>
      <w:tr w:rsidR="00D71762" w:rsidRPr="00D71762" w14:paraId="6CA29B0B" w14:textId="77777777" w:rsidTr="00720970">
        <w:trPr>
          <w:trHeight w:val="255"/>
        </w:trPr>
        <w:tc>
          <w:tcPr>
            <w:tcW w:w="187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A73494F" w14:textId="77777777" w:rsidR="00D71762" w:rsidRPr="00D71762" w:rsidRDefault="00D71762" w:rsidP="00D71762">
            <w:pPr>
              <w:rPr>
                <w:rFonts w:ascii="Calibri" w:eastAsia="Times New Roman" w:hAnsi="Calibri" w:cs="Calibri"/>
                <w:sz w:val="20"/>
                <w:szCs w:val="20"/>
              </w:rPr>
            </w:pPr>
            <w:r w:rsidRPr="00D71762">
              <w:rPr>
                <w:rFonts w:ascii="Calibri" w:eastAsia="Times New Roman" w:hAnsi="Calibri" w:cs="Calibri"/>
                <w:sz w:val="20"/>
                <w:szCs w:val="20"/>
              </w:rPr>
              <w:t>Max</w:t>
            </w:r>
          </w:p>
        </w:tc>
        <w:tc>
          <w:tcPr>
            <w:tcW w:w="1271" w:type="dxa"/>
            <w:tcBorders>
              <w:top w:val="nil"/>
              <w:left w:val="nil"/>
              <w:bottom w:val="single" w:sz="4" w:space="0" w:color="auto"/>
              <w:right w:val="single" w:sz="4" w:space="0" w:color="auto"/>
            </w:tcBorders>
            <w:shd w:val="clear" w:color="auto" w:fill="auto"/>
            <w:noWrap/>
            <w:vAlign w:val="bottom"/>
            <w:hideMark/>
          </w:tcPr>
          <w:p w14:paraId="23D01519"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$146.27 </w:t>
            </w:r>
          </w:p>
        </w:tc>
        <w:tc>
          <w:tcPr>
            <w:tcW w:w="990" w:type="dxa"/>
            <w:tcBorders>
              <w:top w:val="nil"/>
              <w:left w:val="nil"/>
              <w:bottom w:val="single" w:sz="4" w:space="0" w:color="auto"/>
              <w:right w:val="single" w:sz="4" w:space="0" w:color="auto"/>
            </w:tcBorders>
            <w:shd w:val="clear" w:color="auto" w:fill="auto"/>
            <w:noWrap/>
            <w:vAlign w:val="bottom"/>
            <w:hideMark/>
          </w:tcPr>
          <w:p w14:paraId="00C618CF"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$38.02 </w:t>
            </w:r>
          </w:p>
        </w:tc>
        <w:tc>
          <w:tcPr>
            <w:tcW w:w="943" w:type="dxa"/>
            <w:tcBorders>
              <w:top w:val="nil"/>
              <w:left w:val="nil"/>
              <w:bottom w:val="single" w:sz="4" w:space="0" w:color="auto"/>
              <w:right w:val="single" w:sz="4" w:space="0" w:color="auto"/>
            </w:tcBorders>
            <w:shd w:val="clear" w:color="auto" w:fill="auto"/>
            <w:noWrap/>
            <w:vAlign w:val="bottom"/>
            <w:hideMark/>
          </w:tcPr>
          <w:p w14:paraId="4AB25D91"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$146.50 </w:t>
            </w:r>
          </w:p>
        </w:tc>
        <w:tc>
          <w:tcPr>
            <w:tcW w:w="1217" w:type="dxa"/>
            <w:tcBorders>
              <w:top w:val="nil"/>
              <w:left w:val="nil"/>
              <w:bottom w:val="single" w:sz="4" w:space="0" w:color="auto"/>
              <w:right w:val="single" w:sz="4" w:space="0" w:color="auto"/>
            </w:tcBorders>
            <w:shd w:val="clear" w:color="auto" w:fill="auto"/>
            <w:noWrap/>
            <w:vAlign w:val="bottom"/>
            <w:hideMark/>
          </w:tcPr>
          <w:p w14:paraId="37BC6F80"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$92.97 </w:t>
            </w:r>
          </w:p>
        </w:tc>
        <w:tc>
          <w:tcPr>
            <w:tcW w:w="919" w:type="dxa"/>
            <w:tcBorders>
              <w:top w:val="nil"/>
              <w:left w:val="nil"/>
              <w:bottom w:val="single" w:sz="4" w:space="0" w:color="auto"/>
              <w:right w:val="single" w:sz="4" w:space="0" w:color="auto"/>
            </w:tcBorders>
            <w:shd w:val="clear" w:color="auto" w:fill="auto"/>
            <w:noWrap/>
            <w:vAlign w:val="bottom"/>
            <w:hideMark/>
          </w:tcPr>
          <w:p w14:paraId="530E4F0D"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$72.45 </w:t>
            </w:r>
          </w:p>
        </w:tc>
        <w:tc>
          <w:tcPr>
            <w:tcW w:w="1068" w:type="dxa"/>
            <w:tcBorders>
              <w:top w:val="nil"/>
              <w:left w:val="nil"/>
              <w:bottom w:val="single" w:sz="4" w:space="0" w:color="auto"/>
              <w:right w:val="single" w:sz="4" w:space="0" w:color="auto"/>
            </w:tcBorders>
            <w:shd w:val="clear" w:color="auto" w:fill="auto"/>
            <w:noWrap/>
            <w:vAlign w:val="bottom"/>
            <w:hideMark/>
          </w:tcPr>
          <w:p w14:paraId="66FB7F7C"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$36.22 </w:t>
            </w:r>
          </w:p>
        </w:tc>
        <w:tc>
          <w:tcPr>
            <w:tcW w:w="1068" w:type="dxa"/>
            <w:tcBorders>
              <w:top w:val="nil"/>
              <w:left w:val="nil"/>
              <w:bottom w:val="single" w:sz="4" w:space="0" w:color="auto"/>
              <w:right w:val="single" w:sz="4" w:space="0" w:color="auto"/>
            </w:tcBorders>
            <w:shd w:val="clear" w:color="auto" w:fill="auto"/>
            <w:noWrap/>
            <w:vAlign w:val="bottom"/>
            <w:hideMark/>
          </w:tcPr>
          <w:p w14:paraId="5956A91D"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$36.22 </w:t>
            </w:r>
          </w:p>
        </w:tc>
      </w:tr>
      <w:tr w:rsidR="00D71762" w:rsidRPr="00D71762" w14:paraId="42EB78A9" w14:textId="77777777" w:rsidTr="00720970">
        <w:trPr>
          <w:trHeight w:val="255"/>
        </w:trPr>
        <w:tc>
          <w:tcPr>
            <w:tcW w:w="187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522E936" w14:textId="77777777" w:rsidR="00D71762" w:rsidRPr="00D71762" w:rsidRDefault="00D71762" w:rsidP="00D71762">
            <w:pPr>
              <w:rPr>
                <w:rFonts w:ascii="Calibri" w:eastAsia="Times New Roman" w:hAnsi="Calibri" w:cs="Calibri"/>
                <w:sz w:val="20"/>
                <w:szCs w:val="20"/>
              </w:rPr>
            </w:pPr>
            <w:r w:rsidRPr="00D71762">
              <w:rPr>
                <w:rFonts w:ascii="Calibri" w:eastAsia="Times New Roman" w:hAnsi="Calibri" w:cs="Calibri"/>
                <w:sz w:val="20"/>
                <w:szCs w:val="20"/>
              </w:rPr>
              <w:t>Min</w:t>
            </w:r>
          </w:p>
        </w:tc>
        <w:tc>
          <w:tcPr>
            <w:tcW w:w="1271" w:type="dxa"/>
            <w:tcBorders>
              <w:top w:val="nil"/>
              <w:left w:val="nil"/>
              <w:bottom w:val="single" w:sz="4" w:space="0" w:color="auto"/>
              <w:right w:val="single" w:sz="4" w:space="0" w:color="auto"/>
            </w:tcBorders>
            <w:shd w:val="clear" w:color="auto" w:fill="auto"/>
            <w:noWrap/>
            <w:vAlign w:val="bottom"/>
            <w:hideMark/>
          </w:tcPr>
          <w:p w14:paraId="17598BF8"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$20.83 </w:t>
            </w:r>
          </w:p>
        </w:tc>
        <w:tc>
          <w:tcPr>
            <w:tcW w:w="990" w:type="dxa"/>
            <w:tcBorders>
              <w:top w:val="nil"/>
              <w:left w:val="nil"/>
              <w:bottom w:val="single" w:sz="4" w:space="0" w:color="auto"/>
              <w:right w:val="single" w:sz="4" w:space="0" w:color="auto"/>
            </w:tcBorders>
            <w:shd w:val="clear" w:color="auto" w:fill="auto"/>
            <w:noWrap/>
            <w:vAlign w:val="bottom"/>
            <w:hideMark/>
          </w:tcPr>
          <w:p w14:paraId="615B6A48"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$0.23 </w:t>
            </w:r>
          </w:p>
        </w:tc>
        <w:tc>
          <w:tcPr>
            <w:tcW w:w="943" w:type="dxa"/>
            <w:tcBorders>
              <w:top w:val="nil"/>
              <w:left w:val="nil"/>
              <w:bottom w:val="single" w:sz="4" w:space="0" w:color="auto"/>
              <w:right w:val="single" w:sz="4" w:space="0" w:color="auto"/>
            </w:tcBorders>
            <w:shd w:val="clear" w:color="auto" w:fill="auto"/>
            <w:noWrap/>
            <w:vAlign w:val="bottom"/>
            <w:hideMark/>
          </w:tcPr>
          <w:p w14:paraId="0B09270C"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$31.21 </w:t>
            </w:r>
          </w:p>
        </w:tc>
        <w:tc>
          <w:tcPr>
            <w:tcW w:w="1217" w:type="dxa"/>
            <w:tcBorders>
              <w:top w:val="nil"/>
              <w:left w:val="nil"/>
              <w:bottom w:val="single" w:sz="4" w:space="0" w:color="auto"/>
              <w:right w:val="single" w:sz="4" w:space="0" w:color="auto"/>
            </w:tcBorders>
            <w:shd w:val="clear" w:color="auto" w:fill="auto"/>
            <w:noWrap/>
            <w:vAlign w:val="bottom"/>
            <w:hideMark/>
          </w:tcPr>
          <w:p w14:paraId="792BB77F"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-$4.85 </w:t>
            </w:r>
          </w:p>
        </w:tc>
        <w:tc>
          <w:tcPr>
            <w:tcW w:w="919" w:type="dxa"/>
            <w:tcBorders>
              <w:top w:val="nil"/>
              <w:left w:val="nil"/>
              <w:bottom w:val="single" w:sz="4" w:space="0" w:color="auto"/>
              <w:right w:val="single" w:sz="4" w:space="0" w:color="auto"/>
            </w:tcBorders>
            <w:shd w:val="clear" w:color="auto" w:fill="auto"/>
            <w:noWrap/>
            <w:vAlign w:val="bottom"/>
            <w:hideMark/>
          </w:tcPr>
          <w:p w14:paraId="1D2B6F8F"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$21.52 </w:t>
            </w:r>
          </w:p>
        </w:tc>
        <w:tc>
          <w:tcPr>
            <w:tcW w:w="1068" w:type="dxa"/>
            <w:tcBorders>
              <w:top w:val="nil"/>
              <w:left w:val="nil"/>
              <w:bottom w:val="single" w:sz="4" w:space="0" w:color="auto"/>
              <w:right w:val="single" w:sz="4" w:space="0" w:color="auto"/>
            </w:tcBorders>
            <w:shd w:val="clear" w:color="auto" w:fill="auto"/>
            <w:noWrap/>
            <w:vAlign w:val="bottom"/>
            <w:hideMark/>
          </w:tcPr>
          <w:p w14:paraId="2663947F"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$10.76 </w:t>
            </w:r>
          </w:p>
        </w:tc>
        <w:tc>
          <w:tcPr>
            <w:tcW w:w="1068" w:type="dxa"/>
            <w:tcBorders>
              <w:top w:val="nil"/>
              <w:left w:val="nil"/>
              <w:bottom w:val="single" w:sz="4" w:space="0" w:color="auto"/>
              <w:right w:val="single" w:sz="4" w:space="0" w:color="auto"/>
            </w:tcBorders>
            <w:shd w:val="clear" w:color="auto" w:fill="auto"/>
            <w:noWrap/>
            <w:vAlign w:val="bottom"/>
            <w:hideMark/>
          </w:tcPr>
          <w:p w14:paraId="554493EB" w14:textId="77777777" w:rsidR="00D71762" w:rsidRPr="00D71762" w:rsidRDefault="00D71762" w:rsidP="00D71762">
            <w:pPr>
              <w:jc w:val="right"/>
              <w:rPr>
                <w:rFonts w:ascii="Calibri" w:eastAsia="Times New Roman" w:hAnsi="Calibri" w:cs="Calibri"/>
                <w:sz w:val="20"/>
                <w:szCs w:val="20"/>
              </w:rPr>
            </w:pPr>
            <w:r w:rsidRPr="00D71762">
              <w:rPr>
                <w:rFonts w:ascii="Calibri" w:eastAsia="Times New Roman" w:hAnsi="Calibri" w:cs="Calibri"/>
                <w:sz w:val="20"/>
                <w:szCs w:val="20"/>
              </w:rPr>
              <w:t xml:space="preserve">$10.76 </w:t>
            </w:r>
          </w:p>
        </w:tc>
      </w:tr>
    </w:tbl>
    <w:p w14:paraId="421CCC3A" w14:textId="77777777" w:rsidR="00905E0F" w:rsidRDefault="00905E0F" w:rsidP="003D38C6">
      <w:pPr>
        <w:jc w:val="both"/>
        <w:rPr>
          <w:rFonts w:cstheme="minorHAnsi"/>
          <w:b/>
          <w:sz w:val="32"/>
          <w:szCs w:val="32"/>
        </w:rPr>
      </w:pPr>
    </w:p>
    <w:p w14:paraId="06EB180B" w14:textId="2AB02233" w:rsidR="003D38C6" w:rsidRDefault="003D38C6" w:rsidP="003D38C6">
      <w:pPr>
        <w:jc w:val="both"/>
        <w:rPr>
          <w:rFonts w:cstheme="minorHAnsi"/>
          <w:b/>
          <w:sz w:val="32"/>
          <w:szCs w:val="32"/>
        </w:rPr>
      </w:pPr>
      <w:r w:rsidRPr="00037C08">
        <w:rPr>
          <w:rFonts w:cstheme="minorHAnsi"/>
          <w:b/>
          <w:sz w:val="32"/>
          <w:szCs w:val="32"/>
        </w:rPr>
        <w:lastRenderedPageBreak/>
        <w:t>Major Sources of Income</w:t>
      </w:r>
    </w:p>
    <w:tbl>
      <w:tblPr>
        <w:tblW w:w="4760" w:type="dxa"/>
        <w:tblLook w:val="04A0" w:firstRow="1" w:lastRow="0" w:firstColumn="1" w:lastColumn="0" w:noHBand="0" w:noVBand="1"/>
      </w:tblPr>
      <w:tblGrid>
        <w:gridCol w:w="1700"/>
        <w:gridCol w:w="1138"/>
        <w:gridCol w:w="1020"/>
        <w:gridCol w:w="1020"/>
      </w:tblGrid>
      <w:tr w:rsidR="003D38C6" w:rsidRPr="0014335A" w14:paraId="3FFBCCF3" w14:textId="77777777" w:rsidTr="00460015">
        <w:trPr>
          <w:trHeight w:val="765"/>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61A8B" w14:textId="77777777" w:rsidR="003D38C6" w:rsidRPr="0014335A" w:rsidRDefault="003D38C6" w:rsidP="00460015">
            <w:pPr>
              <w:rPr>
                <w:rFonts w:ascii="Calibri" w:eastAsia="Times New Roman" w:hAnsi="Calibri" w:cs="Calibri"/>
                <w:sz w:val="20"/>
                <w:szCs w:val="20"/>
              </w:rPr>
            </w:pPr>
            <w:r w:rsidRPr="0014335A">
              <w:rPr>
                <w:rFonts w:ascii="Calibri" w:eastAsia="Times New Roman" w:hAnsi="Calibri" w:cs="Calibri"/>
                <w:sz w:val="20"/>
                <w:szCs w:val="20"/>
              </w:rPr>
              <w:t> </w:t>
            </w:r>
          </w:p>
        </w:tc>
        <w:tc>
          <w:tcPr>
            <w:tcW w:w="1020" w:type="dxa"/>
            <w:tcBorders>
              <w:top w:val="single" w:sz="4" w:space="0" w:color="auto"/>
              <w:left w:val="nil"/>
              <w:bottom w:val="single" w:sz="4" w:space="0" w:color="auto"/>
              <w:right w:val="single" w:sz="4" w:space="0" w:color="auto"/>
            </w:tcBorders>
            <w:shd w:val="clear" w:color="auto" w:fill="auto"/>
            <w:vAlign w:val="bottom"/>
            <w:hideMark/>
          </w:tcPr>
          <w:p w14:paraId="7934F0FA" w14:textId="77777777" w:rsidR="003D38C6" w:rsidRPr="0014335A" w:rsidRDefault="003D38C6" w:rsidP="00460015">
            <w:pPr>
              <w:jc w:val="center"/>
              <w:rPr>
                <w:rFonts w:ascii="Calibri" w:eastAsia="Times New Roman" w:hAnsi="Calibri" w:cs="Calibri"/>
                <w:sz w:val="20"/>
                <w:szCs w:val="20"/>
              </w:rPr>
            </w:pPr>
            <w:r w:rsidRPr="0014335A">
              <w:rPr>
                <w:rFonts w:ascii="Calibri" w:eastAsia="Times New Roman" w:hAnsi="Calibri" w:cs="Calibri"/>
                <w:sz w:val="20"/>
                <w:szCs w:val="20"/>
              </w:rPr>
              <w:t>Investment Income</w:t>
            </w:r>
          </w:p>
        </w:tc>
        <w:tc>
          <w:tcPr>
            <w:tcW w:w="1020" w:type="dxa"/>
            <w:tcBorders>
              <w:top w:val="single" w:sz="4" w:space="0" w:color="auto"/>
              <w:left w:val="nil"/>
              <w:bottom w:val="single" w:sz="4" w:space="0" w:color="auto"/>
              <w:right w:val="single" w:sz="4" w:space="0" w:color="auto"/>
            </w:tcBorders>
            <w:shd w:val="clear" w:color="auto" w:fill="auto"/>
            <w:vAlign w:val="bottom"/>
            <w:hideMark/>
          </w:tcPr>
          <w:p w14:paraId="7F0DA6A5" w14:textId="77777777" w:rsidR="003D38C6" w:rsidRPr="0014335A" w:rsidRDefault="003D38C6" w:rsidP="00460015">
            <w:pPr>
              <w:jc w:val="center"/>
              <w:rPr>
                <w:rFonts w:ascii="Calibri" w:eastAsia="Times New Roman" w:hAnsi="Calibri" w:cs="Calibri"/>
                <w:sz w:val="20"/>
                <w:szCs w:val="20"/>
              </w:rPr>
            </w:pPr>
            <w:r w:rsidRPr="0014335A">
              <w:rPr>
                <w:rFonts w:ascii="Calibri" w:eastAsia="Times New Roman" w:hAnsi="Calibri" w:cs="Calibri"/>
                <w:sz w:val="20"/>
                <w:szCs w:val="20"/>
              </w:rPr>
              <w:t>Capital Gains &amp; Losses</w:t>
            </w:r>
          </w:p>
        </w:tc>
        <w:tc>
          <w:tcPr>
            <w:tcW w:w="1020" w:type="dxa"/>
            <w:tcBorders>
              <w:top w:val="single" w:sz="4" w:space="0" w:color="auto"/>
              <w:left w:val="nil"/>
              <w:bottom w:val="single" w:sz="4" w:space="0" w:color="auto"/>
              <w:right w:val="single" w:sz="4" w:space="0" w:color="auto"/>
            </w:tcBorders>
            <w:shd w:val="clear" w:color="auto" w:fill="auto"/>
            <w:vAlign w:val="bottom"/>
            <w:hideMark/>
          </w:tcPr>
          <w:p w14:paraId="49BF03A6" w14:textId="77777777" w:rsidR="003D38C6" w:rsidRPr="0014335A" w:rsidRDefault="003D38C6" w:rsidP="00460015">
            <w:pPr>
              <w:jc w:val="center"/>
              <w:rPr>
                <w:rFonts w:ascii="Calibri" w:eastAsia="Times New Roman" w:hAnsi="Calibri" w:cs="Calibri"/>
                <w:sz w:val="20"/>
                <w:szCs w:val="20"/>
              </w:rPr>
            </w:pPr>
            <w:r w:rsidRPr="0014335A">
              <w:rPr>
                <w:rFonts w:ascii="Calibri" w:eastAsia="Times New Roman" w:hAnsi="Calibri" w:cs="Calibri"/>
                <w:sz w:val="20"/>
                <w:szCs w:val="20"/>
              </w:rPr>
              <w:t>Royalties</w:t>
            </w:r>
          </w:p>
        </w:tc>
      </w:tr>
      <w:tr w:rsidR="003D38C6" w:rsidRPr="0014335A" w14:paraId="3CDB1D80" w14:textId="77777777" w:rsidTr="00460015">
        <w:trPr>
          <w:trHeight w:val="255"/>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39F2515B" w14:textId="77777777" w:rsidR="003D38C6" w:rsidRPr="0014335A" w:rsidRDefault="003D38C6" w:rsidP="00460015">
            <w:pPr>
              <w:rPr>
                <w:rFonts w:ascii="Calibri" w:eastAsia="Times New Roman" w:hAnsi="Calibri" w:cs="Calibri"/>
                <w:b/>
                <w:bCs/>
                <w:sz w:val="18"/>
                <w:szCs w:val="18"/>
              </w:rPr>
            </w:pPr>
            <w:r w:rsidRPr="0014335A">
              <w:rPr>
                <w:rFonts w:ascii="Calibri" w:eastAsia="Times New Roman" w:hAnsi="Calibri" w:cs="Calibri"/>
                <w:b/>
                <w:bCs/>
                <w:sz w:val="18"/>
                <w:szCs w:val="18"/>
              </w:rPr>
              <w:t>Fiscal Year 22-23</w:t>
            </w:r>
          </w:p>
        </w:tc>
        <w:tc>
          <w:tcPr>
            <w:tcW w:w="1020" w:type="dxa"/>
            <w:tcBorders>
              <w:top w:val="nil"/>
              <w:left w:val="nil"/>
              <w:bottom w:val="single" w:sz="4" w:space="0" w:color="auto"/>
              <w:right w:val="single" w:sz="4" w:space="0" w:color="auto"/>
            </w:tcBorders>
            <w:shd w:val="clear" w:color="auto" w:fill="auto"/>
            <w:noWrap/>
            <w:vAlign w:val="bottom"/>
            <w:hideMark/>
          </w:tcPr>
          <w:p w14:paraId="2027EA0D" w14:textId="77777777" w:rsidR="003D38C6" w:rsidRPr="0014335A" w:rsidRDefault="003D38C6" w:rsidP="00460015">
            <w:pPr>
              <w:jc w:val="right"/>
              <w:rPr>
                <w:rFonts w:ascii="Calibri" w:eastAsia="Times New Roman" w:hAnsi="Calibri" w:cs="Calibri"/>
                <w:b/>
                <w:bCs/>
                <w:sz w:val="20"/>
                <w:szCs w:val="20"/>
              </w:rPr>
            </w:pPr>
            <w:r w:rsidRPr="0014335A">
              <w:rPr>
                <w:rFonts w:ascii="Calibri" w:eastAsia="Times New Roman" w:hAnsi="Calibri" w:cs="Calibri"/>
                <w:b/>
                <w:bCs/>
                <w:sz w:val="20"/>
                <w:szCs w:val="20"/>
              </w:rPr>
              <w:t>36.02</w:t>
            </w:r>
          </w:p>
        </w:tc>
        <w:tc>
          <w:tcPr>
            <w:tcW w:w="1020" w:type="dxa"/>
            <w:tcBorders>
              <w:top w:val="nil"/>
              <w:left w:val="nil"/>
              <w:bottom w:val="single" w:sz="4" w:space="0" w:color="auto"/>
              <w:right w:val="single" w:sz="4" w:space="0" w:color="auto"/>
            </w:tcBorders>
            <w:shd w:val="clear" w:color="auto" w:fill="auto"/>
            <w:noWrap/>
            <w:vAlign w:val="bottom"/>
            <w:hideMark/>
          </w:tcPr>
          <w:p w14:paraId="364AADF8" w14:textId="77777777" w:rsidR="003D38C6" w:rsidRPr="0014335A" w:rsidRDefault="003D38C6" w:rsidP="00460015">
            <w:pPr>
              <w:jc w:val="right"/>
              <w:rPr>
                <w:rFonts w:ascii="Calibri" w:eastAsia="Times New Roman" w:hAnsi="Calibri" w:cs="Calibri"/>
                <w:b/>
                <w:bCs/>
                <w:sz w:val="20"/>
                <w:szCs w:val="20"/>
              </w:rPr>
            </w:pPr>
            <w:r w:rsidRPr="0014335A">
              <w:rPr>
                <w:rFonts w:ascii="Calibri" w:eastAsia="Times New Roman" w:hAnsi="Calibri" w:cs="Calibri"/>
                <w:b/>
                <w:bCs/>
                <w:sz w:val="20"/>
                <w:szCs w:val="20"/>
              </w:rPr>
              <w:t>2.54</w:t>
            </w:r>
          </w:p>
        </w:tc>
        <w:tc>
          <w:tcPr>
            <w:tcW w:w="1020" w:type="dxa"/>
            <w:tcBorders>
              <w:top w:val="nil"/>
              <w:left w:val="nil"/>
              <w:bottom w:val="single" w:sz="4" w:space="0" w:color="auto"/>
              <w:right w:val="single" w:sz="4" w:space="0" w:color="auto"/>
            </w:tcBorders>
            <w:shd w:val="clear" w:color="auto" w:fill="auto"/>
            <w:noWrap/>
            <w:vAlign w:val="bottom"/>
            <w:hideMark/>
          </w:tcPr>
          <w:p w14:paraId="6A00D43D" w14:textId="77777777" w:rsidR="003D38C6" w:rsidRPr="0014335A" w:rsidRDefault="003D38C6" w:rsidP="00460015">
            <w:pPr>
              <w:jc w:val="right"/>
              <w:rPr>
                <w:rFonts w:ascii="Calibri" w:eastAsia="Times New Roman" w:hAnsi="Calibri" w:cs="Calibri"/>
                <w:b/>
                <w:bCs/>
                <w:sz w:val="20"/>
                <w:szCs w:val="20"/>
              </w:rPr>
            </w:pPr>
            <w:r w:rsidRPr="0014335A">
              <w:rPr>
                <w:rFonts w:ascii="Calibri" w:eastAsia="Times New Roman" w:hAnsi="Calibri" w:cs="Calibri"/>
                <w:b/>
                <w:bCs/>
                <w:sz w:val="20"/>
                <w:szCs w:val="20"/>
              </w:rPr>
              <w:t>4.47</w:t>
            </w:r>
          </w:p>
        </w:tc>
      </w:tr>
      <w:tr w:rsidR="003D38C6" w:rsidRPr="0014335A" w14:paraId="302EB9AC" w14:textId="77777777" w:rsidTr="00460015">
        <w:trPr>
          <w:trHeight w:val="255"/>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3D077C36" w14:textId="77777777" w:rsidR="003D38C6" w:rsidRPr="0014335A" w:rsidRDefault="003D38C6" w:rsidP="00460015">
            <w:pPr>
              <w:rPr>
                <w:rFonts w:ascii="Calibri" w:eastAsia="Times New Roman" w:hAnsi="Calibri" w:cs="Calibri"/>
                <w:sz w:val="18"/>
                <w:szCs w:val="18"/>
              </w:rPr>
            </w:pPr>
            <w:r w:rsidRPr="0014335A">
              <w:rPr>
                <w:rFonts w:ascii="Calibri" w:eastAsia="Times New Roman" w:hAnsi="Calibri" w:cs="Calibri"/>
                <w:sz w:val="18"/>
                <w:szCs w:val="18"/>
              </w:rPr>
              <w:t xml:space="preserve">5 </w:t>
            </w:r>
            <w:proofErr w:type="spellStart"/>
            <w:r w:rsidRPr="0014335A">
              <w:rPr>
                <w:rFonts w:ascii="Calibri" w:eastAsia="Times New Roman" w:hAnsi="Calibri" w:cs="Calibri"/>
                <w:sz w:val="18"/>
                <w:szCs w:val="18"/>
              </w:rPr>
              <w:t>Yr</w:t>
            </w:r>
            <w:proofErr w:type="spellEnd"/>
            <w:r w:rsidRPr="0014335A">
              <w:rPr>
                <w:rFonts w:ascii="Calibri" w:eastAsia="Times New Roman" w:hAnsi="Calibri" w:cs="Calibri"/>
                <w:sz w:val="18"/>
                <w:szCs w:val="18"/>
              </w:rPr>
              <w:t xml:space="preserve"> Average</w:t>
            </w:r>
          </w:p>
        </w:tc>
        <w:tc>
          <w:tcPr>
            <w:tcW w:w="1020" w:type="dxa"/>
            <w:tcBorders>
              <w:top w:val="nil"/>
              <w:left w:val="nil"/>
              <w:bottom w:val="single" w:sz="4" w:space="0" w:color="auto"/>
              <w:right w:val="single" w:sz="4" w:space="0" w:color="auto"/>
            </w:tcBorders>
            <w:shd w:val="clear" w:color="auto" w:fill="auto"/>
            <w:noWrap/>
            <w:vAlign w:val="bottom"/>
            <w:hideMark/>
          </w:tcPr>
          <w:p w14:paraId="6334ECBF" w14:textId="77777777" w:rsidR="003D38C6" w:rsidRPr="0014335A" w:rsidRDefault="003D38C6" w:rsidP="00460015">
            <w:pPr>
              <w:jc w:val="right"/>
              <w:rPr>
                <w:rFonts w:ascii="Calibri" w:eastAsia="Times New Roman" w:hAnsi="Calibri" w:cs="Calibri"/>
                <w:sz w:val="20"/>
                <w:szCs w:val="20"/>
              </w:rPr>
            </w:pPr>
            <w:r w:rsidRPr="0014335A">
              <w:rPr>
                <w:rFonts w:ascii="Calibri" w:eastAsia="Times New Roman" w:hAnsi="Calibri" w:cs="Calibri"/>
                <w:sz w:val="20"/>
                <w:szCs w:val="20"/>
              </w:rPr>
              <w:t>38.47</w:t>
            </w:r>
          </w:p>
        </w:tc>
        <w:tc>
          <w:tcPr>
            <w:tcW w:w="1020" w:type="dxa"/>
            <w:tcBorders>
              <w:top w:val="nil"/>
              <w:left w:val="nil"/>
              <w:bottom w:val="single" w:sz="4" w:space="0" w:color="auto"/>
              <w:right w:val="single" w:sz="4" w:space="0" w:color="auto"/>
            </w:tcBorders>
            <w:shd w:val="clear" w:color="auto" w:fill="auto"/>
            <w:noWrap/>
            <w:vAlign w:val="bottom"/>
            <w:hideMark/>
          </w:tcPr>
          <w:p w14:paraId="006B4005" w14:textId="77777777" w:rsidR="003D38C6" w:rsidRPr="0014335A" w:rsidRDefault="003D38C6" w:rsidP="00460015">
            <w:pPr>
              <w:jc w:val="right"/>
              <w:rPr>
                <w:rFonts w:ascii="Calibri" w:eastAsia="Times New Roman" w:hAnsi="Calibri" w:cs="Calibri"/>
                <w:sz w:val="20"/>
                <w:szCs w:val="20"/>
              </w:rPr>
            </w:pPr>
            <w:r w:rsidRPr="0014335A">
              <w:rPr>
                <w:rFonts w:ascii="Calibri" w:eastAsia="Times New Roman" w:hAnsi="Calibri" w:cs="Calibri"/>
                <w:sz w:val="20"/>
                <w:szCs w:val="20"/>
              </w:rPr>
              <w:t>32.96</w:t>
            </w:r>
          </w:p>
        </w:tc>
        <w:tc>
          <w:tcPr>
            <w:tcW w:w="1020" w:type="dxa"/>
            <w:tcBorders>
              <w:top w:val="nil"/>
              <w:left w:val="nil"/>
              <w:bottom w:val="single" w:sz="4" w:space="0" w:color="auto"/>
              <w:right w:val="single" w:sz="4" w:space="0" w:color="auto"/>
            </w:tcBorders>
            <w:shd w:val="clear" w:color="auto" w:fill="auto"/>
            <w:noWrap/>
            <w:vAlign w:val="bottom"/>
            <w:hideMark/>
          </w:tcPr>
          <w:p w14:paraId="2D83B11F" w14:textId="77777777" w:rsidR="003D38C6" w:rsidRPr="0014335A" w:rsidRDefault="003D38C6" w:rsidP="00460015">
            <w:pPr>
              <w:jc w:val="right"/>
              <w:rPr>
                <w:rFonts w:ascii="Calibri" w:eastAsia="Times New Roman" w:hAnsi="Calibri" w:cs="Calibri"/>
                <w:sz w:val="20"/>
                <w:szCs w:val="20"/>
              </w:rPr>
            </w:pPr>
            <w:r w:rsidRPr="0014335A">
              <w:rPr>
                <w:rFonts w:ascii="Calibri" w:eastAsia="Times New Roman" w:hAnsi="Calibri" w:cs="Calibri"/>
                <w:sz w:val="20"/>
                <w:szCs w:val="20"/>
              </w:rPr>
              <w:t>3.92</w:t>
            </w:r>
          </w:p>
        </w:tc>
      </w:tr>
      <w:tr w:rsidR="003D38C6" w:rsidRPr="0014335A" w14:paraId="116AD946" w14:textId="77777777" w:rsidTr="00460015">
        <w:trPr>
          <w:trHeight w:val="255"/>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0B95BE70" w14:textId="77777777" w:rsidR="003D38C6" w:rsidRPr="0014335A" w:rsidRDefault="003D38C6" w:rsidP="00460015">
            <w:pPr>
              <w:rPr>
                <w:rFonts w:ascii="Calibri" w:eastAsia="Times New Roman" w:hAnsi="Calibri" w:cs="Calibri"/>
                <w:sz w:val="18"/>
                <w:szCs w:val="18"/>
              </w:rPr>
            </w:pPr>
            <w:r w:rsidRPr="0014335A">
              <w:rPr>
                <w:rFonts w:ascii="Calibri" w:eastAsia="Times New Roman" w:hAnsi="Calibri" w:cs="Calibri"/>
                <w:sz w:val="18"/>
                <w:szCs w:val="18"/>
              </w:rPr>
              <w:t xml:space="preserve">10 </w:t>
            </w:r>
            <w:proofErr w:type="spellStart"/>
            <w:r w:rsidRPr="0014335A">
              <w:rPr>
                <w:rFonts w:ascii="Calibri" w:eastAsia="Times New Roman" w:hAnsi="Calibri" w:cs="Calibri"/>
                <w:sz w:val="18"/>
                <w:szCs w:val="18"/>
              </w:rPr>
              <w:t>Yr</w:t>
            </w:r>
            <w:proofErr w:type="spellEnd"/>
            <w:r w:rsidRPr="0014335A">
              <w:rPr>
                <w:rFonts w:ascii="Calibri" w:eastAsia="Times New Roman" w:hAnsi="Calibri" w:cs="Calibri"/>
                <w:sz w:val="18"/>
                <w:szCs w:val="18"/>
              </w:rPr>
              <w:t xml:space="preserve"> Average</w:t>
            </w:r>
          </w:p>
        </w:tc>
        <w:tc>
          <w:tcPr>
            <w:tcW w:w="1020" w:type="dxa"/>
            <w:tcBorders>
              <w:top w:val="nil"/>
              <w:left w:val="nil"/>
              <w:bottom w:val="single" w:sz="4" w:space="0" w:color="auto"/>
              <w:right w:val="single" w:sz="4" w:space="0" w:color="auto"/>
            </w:tcBorders>
            <w:shd w:val="clear" w:color="auto" w:fill="auto"/>
            <w:noWrap/>
            <w:vAlign w:val="bottom"/>
            <w:hideMark/>
          </w:tcPr>
          <w:p w14:paraId="0AB77A56" w14:textId="77777777" w:rsidR="003D38C6" w:rsidRPr="0014335A" w:rsidRDefault="003D38C6" w:rsidP="00460015">
            <w:pPr>
              <w:jc w:val="right"/>
              <w:rPr>
                <w:rFonts w:ascii="Calibri" w:eastAsia="Times New Roman" w:hAnsi="Calibri" w:cs="Calibri"/>
                <w:sz w:val="20"/>
                <w:szCs w:val="20"/>
              </w:rPr>
            </w:pPr>
            <w:r w:rsidRPr="0014335A">
              <w:rPr>
                <w:rFonts w:ascii="Calibri" w:eastAsia="Times New Roman" w:hAnsi="Calibri" w:cs="Calibri"/>
                <w:sz w:val="20"/>
                <w:szCs w:val="20"/>
              </w:rPr>
              <w:t>38.93</w:t>
            </w:r>
          </w:p>
        </w:tc>
        <w:tc>
          <w:tcPr>
            <w:tcW w:w="1020" w:type="dxa"/>
            <w:tcBorders>
              <w:top w:val="nil"/>
              <w:left w:val="nil"/>
              <w:bottom w:val="single" w:sz="4" w:space="0" w:color="auto"/>
              <w:right w:val="single" w:sz="4" w:space="0" w:color="auto"/>
            </w:tcBorders>
            <w:shd w:val="clear" w:color="auto" w:fill="auto"/>
            <w:noWrap/>
            <w:vAlign w:val="bottom"/>
            <w:hideMark/>
          </w:tcPr>
          <w:p w14:paraId="3BDCF472" w14:textId="77777777" w:rsidR="003D38C6" w:rsidRPr="0014335A" w:rsidRDefault="003D38C6" w:rsidP="00460015">
            <w:pPr>
              <w:jc w:val="right"/>
              <w:rPr>
                <w:rFonts w:ascii="Calibri" w:eastAsia="Times New Roman" w:hAnsi="Calibri" w:cs="Calibri"/>
                <w:sz w:val="20"/>
                <w:szCs w:val="20"/>
              </w:rPr>
            </w:pPr>
            <w:r w:rsidRPr="0014335A">
              <w:rPr>
                <w:rFonts w:ascii="Calibri" w:eastAsia="Times New Roman" w:hAnsi="Calibri" w:cs="Calibri"/>
                <w:sz w:val="20"/>
                <w:szCs w:val="20"/>
              </w:rPr>
              <w:t>30.78</w:t>
            </w:r>
          </w:p>
        </w:tc>
        <w:tc>
          <w:tcPr>
            <w:tcW w:w="1020" w:type="dxa"/>
            <w:tcBorders>
              <w:top w:val="nil"/>
              <w:left w:val="nil"/>
              <w:bottom w:val="single" w:sz="4" w:space="0" w:color="auto"/>
              <w:right w:val="single" w:sz="4" w:space="0" w:color="auto"/>
            </w:tcBorders>
            <w:shd w:val="clear" w:color="auto" w:fill="auto"/>
            <w:noWrap/>
            <w:vAlign w:val="bottom"/>
            <w:hideMark/>
          </w:tcPr>
          <w:p w14:paraId="269A8847" w14:textId="77777777" w:rsidR="003D38C6" w:rsidRPr="0014335A" w:rsidRDefault="003D38C6" w:rsidP="00460015">
            <w:pPr>
              <w:jc w:val="right"/>
              <w:rPr>
                <w:rFonts w:ascii="Calibri" w:eastAsia="Times New Roman" w:hAnsi="Calibri" w:cs="Calibri"/>
                <w:sz w:val="20"/>
                <w:szCs w:val="20"/>
              </w:rPr>
            </w:pPr>
            <w:r w:rsidRPr="0014335A">
              <w:rPr>
                <w:rFonts w:ascii="Calibri" w:eastAsia="Times New Roman" w:hAnsi="Calibri" w:cs="Calibri"/>
                <w:sz w:val="20"/>
                <w:szCs w:val="20"/>
              </w:rPr>
              <w:t>10.17</w:t>
            </w:r>
          </w:p>
        </w:tc>
      </w:tr>
      <w:tr w:rsidR="003D38C6" w:rsidRPr="0014335A" w14:paraId="0A286492" w14:textId="77777777" w:rsidTr="00460015">
        <w:trPr>
          <w:trHeight w:val="255"/>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4B1DFEDD" w14:textId="77777777" w:rsidR="003D38C6" w:rsidRPr="0014335A" w:rsidRDefault="003D38C6" w:rsidP="00460015">
            <w:pPr>
              <w:rPr>
                <w:rFonts w:ascii="Calibri" w:eastAsia="Times New Roman" w:hAnsi="Calibri" w:cs="Calibri"/>
                <w:sz w:val="18"/>
                <w:szCs w:val="18"/>
              </w:rPr>
            </w:pPr>
            <w:r w:rsidRPr="0014335A">
              <w:rPr>
                <w:rFonts w:ascii="Calibri" w:eastAsia="Times New Roman" w:hAnsi="Calibri" w:cs="Calibri"/>
                <w:sz w:val="18"/>
                <w:szCs w:val="18"/>
              </w:rPr>
              <w:t xml:space="preserve">15 </w:t>
            </w:r>
            <w:proofErr w:type="spellStart"/>
            <w:r w:rsidRPr="0014335A">
              <w:rPr>
                <w:rFonts w:ascii="Calibri" w:eastAsia="Times New Roman" w:hAnsi="Calibri" w:cs="Calibri"/>
                <w:sz w:val="18"/>
                <w:szCs w:val="18"/>
              </w:rPr>
              <w:t>Yr</w:t>
            </w:r>
            <w:proofErr w:type="spellEnd"/>
            <w:r w:rsidRPr="0014335A">
              <w:rPr>
                <w:rFonts w:ascii="Calibri" w:eastAsia="Times New Roman" w:hAnsi="Calibri" w:cs="Calibri"/>
                <w:sz w:val="18"/>
                <w:szCs w:val="18"/>
              </w:rPr>
              <w:t xml:space="preserve"> Average</w:t>
            </w:r>
          </w:p>
        </w:tc>
        <w:tc>
          <w:tcPr>
            <w:tcW w:w="1020" w:type="dxa"/>
            <w:tcBorders>
              <w:top w:val="nil"/>
              <w:left w:val="nil"/>
              <w:bottom w:val="single" w:sz="4" w:space="0" w:color="auto"/>
              <w:right w:val="single" w:sz="4" w:space="0" w:color="auto"/>
            </w:tcBorders>
            <w:shd w:val="clear" w:color="auto" w:fill="auto"/>
            <w:noWrap/>
            <w:vAlign w:val="bottom"/>
            <w:hideMark/>
          </w:tcPr>
          <w:p w14:paraId="58C7331C" w14:textId="77777777" w:rsidR="003D38C6" w:rsidRPr="0014335A" w:rsidRDefault="003D38C6" w:rsidP="00460015">
            <w:pPr>
              <w:jc w:val="right"/>
              <w:rPr>
                <w:rFonts w:ascii="Calibri" w:eastAsia="Times New Roman" w:hAnsi="Calibri" w:cs="Calibri"/>
                <w:sz w:val="20"/>
                <w:szCs w:val="20"/>
              </w:rPr>
            </w:pPr>
            <w:r w:rsidRPr="0014335A">
              <w:rPr>
                <w:rFonts w:ascii="Calibri" w:eastAsia="Times New Roman" w:hAnsi="Calibri" w:cs="Calibri"/>
                <w:sz w:val="20"/>
                <w:szCs w:val="20"/>
              </w:rPr>
              <w:t>42.59</w:t>
            </w:r>
          </w:p>
        </w:tc>
        <w:tc>
          <w:tcPr>
            <w:tcW w:w="1020" w:type="dxa"/>
            <w:tcBorders>
              <w:top w:val="nil"/>
              <w:left w:val="nil"/>
              <w:bottom w:val="single" w:sz="4" w:space="0" w:color="auto"/>
              <w:right w:val="single" w:sz="4" w:space="0" w:color="auto"/>
            </w:tcBorders>
            <w:shd w:val="clear" w:color="auto" w:fill="auto"/>
            <w:noWrap/>
            <w:vAlign w:val="bottom"/>
            <w:hideMark/>
          </w:tcPr>
          <w:p w14:paraId="6D00964E" w14:textId="77777777" w:rsidR="003D38C6" w:rsidRPr="0014335A" w:rsidRDefault="003D38C6" w:rsidP="00460015">
            <w:pPr>
              <w:jc w:val="right"/>
              <w:rPr>
                <w:rFonts w:ascii="Calibri" w:eastAsia="Times New Roman" w:hAnsi="Calibri" w:cs="Calibri"/>
                <w:sz w:val="20"/>
                <w:szCs w:val="20"/>
              </w:rPr>
            </w:pPr>
            <w:r w:rsidRPr="0014335A">
              <w:rPr>
                <w:rFonts w:ascii="Calibri" w:eastAsia="Times New Roman" w:hAnsi="Calibri" w:cs="Calibri"/>
                <w:sz w:val="20"/>
                <w:szCs w:val="20"/>
              </w:rPr>
              <w:t>21.27</w:t>
            </w:r>
          </w:p>
        </w:tc>
        <w:tc>
          <w:tcPr>
            <w:tcW w:w="1020" w:type="dxa"/>
            <w:tcBorders>
              <w:top w:val="nil"/>
              <w:left w:val="nil"/>
              <w:bottom w:val="single" w:sz="4" w:space="0" w:color="auto"/>
              <w:right w:val="single" w:sz="4" w:space="0" w:color="auto"/>
            </w:tcBorders>
            <w:shd w:val="clear" w:color="auto" w:fill="auto"/>
            <w:noWrap/>
            <w:vAlign w:val="bottom"/>
            <w:hideMark/>
          </w:tcPr>
          <w:p w14:paraId="4A932612" w14:textId="77777777" w:rsidR="003D38C6" w:rsidRPr="0014335A" w:rsidRDefault="003D38C6" w:rsidP="00460015">
            <w:pPr>
              <w:jc w:val="right"/>
              <w:rPr>
                <w:rFonts w:ascii="Calibri" w:eastAsia="Times New Roman" w:hAnsi="Calibri" w:cs="Calibri"/>
                <w:sz w:val="20"/>
                <w:szCs w:val="20"/>
              </w:rPr>
            </w:pPr>
            <w:r w:rsidRPr="0014335A">
              <w:rPr>
                <w:rFonts w:ascii="Calibri" w:eastAsia="Times New Roman" w:hAnsi="Calibri" w:cs="Calibri"/>
                <w:sz w:val="20"/>
                <w:szCs w:val="20"/>
              </w:rPr>
              <w:t>15.82</w:t>
            </w:r>
          </w:p>
        </w:tc>
      </w:tr>
      <w:tr w:rsidR="003D38C6" w:rsidRPr="0014335A" w14:paraId="6C587F15" w14:textId="77777777" w:rsidTr="00460015">
        <w:trPr>
          <w:trHeight w:val="255"/>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4AA6FB52" w14:textId="77777777" w:rsidR="003D38C6" w:rsidRPr="0014335A" w:rsidRDefault="003D38C6" w:rsidP="00460015">
            <w:pPr>
              <w:rPr>
                <w:rFonts w:ascii="Calibri" w:eastAsia="Times New Roman" w:hAnsi="Calibri" w:cs="Calibri"/>
                <w:sz w:val="18"/>
                <w:szCs w:val="18"/>
              </w:rPr>
            </w:pPr>
            <w:r w:rsidRPr="0014335A">
              <w:rPr>
                <w:rFonts w:ascii="Calibri" w:eastAsia="Times New Roman" w:hAnsi="Calibri" w:cs="Calibri"/>
                <w:sz w:val="18"/>
                <w:szCs w:val="18"/>
              </w:rPr>
              <w:t xml:space="preserve">20 </w:t>
            </w:r>
            <w:proofErr w:type="spellStart"/>
            <w:r w:rsidRPr="0014335A">
              <w:rPr>
                <w:rFonts w:ascii="Calibri" w:eastAsia="Times New Roman" w:hAnsi="Calibri" w:cs="Calibri"/>
                <w:sz w:val="18"/>
                <w:szCs w:val="18"/>
              </w:rPr>
              <w:t>Yr</w:t>
            </w:r>
            <w:proofErr w:type="spellEnd"/>
            <w:r w:rsidRPr="0014335A">
              <w:rPr>
                <w:rFonts w:ascii="Calibri" w:eastAsia="Times New Roman" w:hAnsi="Calibri" w:cs="Calibri"/>
                <w:sz w:val="18"/>
                <w:szCs w:val="18"/>
              </w:rPr>
              <w:t xml:space="preserve"> Average</w:t>
            </w:r>
          </w:p>
        </w:tc>
        <w:tc>
          <w:tcPr>
            <w:tcW w:w="1020" w:type="dxa"/>
            <w:tcBorders>
              <w:top w:val="nil"/>
              <w:left w:val="nil"/>
              <w:bottom w:val="single" w:sz="4" w:space="0" w:color="auto"/>
              <w:right w:val="single" w:sz="4" w:space="0" w:color="auto"/>
            </w:tcBorders>
            <w:shd w:val="clear" w:color="auto" w:fill="auto"/>
            <w:noWrap/>
            <w:vAlign w:val="bottom"/>
            <w:hideMark/>
          </w:tcPr>
          <w:p w14:paraId="0304612B" w14:textId="77777777" w:rsidR="003D38C6" w:rsidRPr="0014335A" w:rsidRDefault="003D38C6" w:rsidP="00460015">
            <w:pPr>
              <w:jc w:val="right"/>
              <w:rPr>
                <w:rFonts w:ascii="Calibri" w:eastAsia="Times New Roman" w:hAnsi="Calibri" w:cs="Calibri"/>
                <w:sz w:val="20"/>
                <w:szCs w:val="20"/>
              </w:rPr>
            </w:pPr>
            <w:r w:rsidRPr="0014335A">
              <w:rPr>
                <w:rFonts w:ascii="Calibri" w:eastAsia="Times New Roman" w:hAnsi="Calibri" w:cs="Calibri"/>
                <w:sz w:val="20"/>
                <w:szCs w:val="20"/>
              </w:rPr>
              <w:t>44.64</w:t>
            </w:r>
          </w:p>
        </w:tc>
        <w:tc>
          <w:tcPr>
            <w:tcW w:w="1020" w:type="dxa"/>
            <w:tcBorders>
              <w:top w:val="nil"/>
              <w:left w:val="nil"/>
              <w:bottom w:val="single" w:sz="4" w:space="0" w:color="auto"/>
              <w:right w:val="single" w:sz="4" w:space="0" w:color="auto"/>
            </w:tcBorders>
            <w:shd w:val="clear" w:color="auto" w:fill="auto"/>
            <w:noWrap/>
            <w:vAlign w:val="bottom"/>
            <w:hideMark/>
          </w:tcPr>
          <w:p w14:paraId="5A106312" w14:textId="77777777" w:rsidR="003D38C6" w:rsidRPr="0014335A" w:rsidRDefault="003D38C6" w:rsidP="00460015">
            <w:pPr>
              <w:jc w:val="right"/>
              <w:rPr>
                <w:rFonts w:ascii="Calibri" w:eastAsia="Times New Roman" w:hAnsi="Calibri" w:cs="Calibri"/>
                <w:sz w:val="20"/>
                <w:szCs w:val="20"/>
              </w:rPr>
            </w:pPr>
            <w:r w:rsidRPr="0014335A">
              <w:rPr>
                <w:rFonts w:ascii="Calibri" w:eastAsia="Times New Roman" w:hAnsi="Calibri" w:cs="Calibri"/>
                <w:sz w:val="20"/>
                <w:szCs w:val="20"/>
              </w:rPr>
              <w:t>16.20</w:t>
            </w:r>
          </w:p>
        </w:tc>
        <w:tc>
          <w:tcPr>
            <w:tcW w:w="1020" w:type="dxa"/>
            <w:tcBorders>
              <w:top w:val="nil"/>
              <w:left w:val="nil"/>
              <w:bottom w:val="single" w:sz="4" w:space="0" w:color="auto"/>
              <w:right w:val="single" w:sz="4" w:space="0" w:color="auto"/>
            </w:tcBorders>
            <w:shd w:val="clear" w:color="auto" w:fill="auto"/>
            <w:noWrap/>
            <w:vAlign w:val="bottom"/>
            <w:hideMark/>
          </w:tcPr>
          <w:p w14:paraId="41B58913" w14:textId="77777777" w:rsidR="003D38C6" w:rsidRPr="0014335A" w:rsidRDefault="003D38C6" w:rsidP="00460015">
            <w:pPr>
              <w:jc w:val="right"/>
              <w:rPr>
                <w:rFonts w:ascii="Calibri" w:eastAsia="Times New Roman" w:hAnsi="Calibri" w:cs="Calibri"/>
                <w:sz w:val="20"/>
                <w:szCs w:val="20"/>
              </w:rPr>
            </w:pPr>
            <w:r w:rsidRPr="0014335A">
              <w:rPr>
                <w:rFonts w:ascii="Calibri" w:eastAsia="Times New Roman" w:hAnsi="Calibri" w:cs="Calibri"/>
                <w:sz w:val="20"/>
                <w:szCs w:val="20"/>
              </w:rPr>
              <w:t>18.67</w:t>
            </w:r>
          </w:p>
        </w:tc>
      </w:tr>
      <w:tr w:rsidR="003D38C6" w:rsidRPr="0014335A" w14:paraId="7B81B48C" w14:textId="77777777" w:rsidTr="00460015">
        <w:trPr>
          <w:trHeight w:val="255"/>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1A103906" w14:textId="77777777" w:rsidR="003D38C6" w:rsidRPr="0014335A" w:rsidRDefault="003D38C6" w:rsidP="00460015">
            <w:pPr>
              <w:rPr>
                <w:rFonts w:ascii="Calibri" w:eastAsia="Times New Roman" w:hAnsi="Calibri" w:cs="Calibri"/>
                <w:sz w:val="18"/>
                <w:szCs w:val="18"/>
              </w:rPr>
            </w:pPr>
            <w:r w:rsidRPr="0014335A">
              <w:rPr>
                <w:rFonts w:ascii="Calibri" w:eastAsia="Times New Roman" w:hAnsi="Calibri" w:cs="Calibri"/>
                <w:sz w:val="18"/>
                <w:szCs w:val="18"/>
              </w:rPr>
              <w:t xml:space="preserve">25 </w:t>
            </w:r>
            <w:proofErr w:type="spellStart"/>
            <w:r w:rsidRPr="0014335A">
              <w:rPr>
                <w:rFonts w:ascii="Calibri" w:eastAsia="Times New Roman" w:hAnsi="Calibri" w:cs="Calibri"/>
                <w:sz w:val="18"/>
                <w:szCs w:val="18"/>
              </w:rPr>
              <w:t>Yr</w:t>
            </w:r>
            <w:proofErr w:type="spellEnd"/>
            <w:r w:rsidRPr="0014335A">
              <w:rPr>
                <w:rFonts w:ascii="Calibri" w:eastAsia="Times New Roman" w:hAnsi="Calibri" w:cs="Calibri"/>
                <w:sz w:val="18"/>
                <w:szCs w:val="18"/>
              </w:rPr>
              <w:t xml:space="preserve"> Average</w:t>
            </w:r>
          </w:p>
        </w:tc>
        <w:tc>
          <w:tcPr>
            <w:tcW w:w="1020" w:type="dxa"/>
            <w:tcBorders>
              <w:top w:val="nil"/>
              <w:left w:val="nil"/>
              <w:bottom w:val="single" w:sz="4" w:space="0" w:color="auto"/>
              <w:right w:val="single" w:sz="4" w:space="0" w:color="auto"/>
            </w:tcBorders>
            <w:shd w:val="clear" w:color="auto" w:fill="auto"/>
            <w:noWrap/>
            <w:vAlign w:val="bottom"/>
            <w:hideMark/>
          </w:tcPr>
          <w:p w14:paraId="7B686056" w14:textId="77777777" w:rsidR="003D38C6" w:rsidRPr="0014335A" w:rsidRDefault="003D38C6" w:rsidP="00460015">
            <w:pPr>
              <w:jc w:val="right"/>
              <w:rPr>
                <w:rFonts w:ascii="Calibri" w:eastAsia="Times New Roman" w:hAnsi="Calibri" w:cs="Calibri"/>
                <w:sz w:val="20"/>
                <w:szCs w:val="20"/>
              </w:rPr>
            </w:pPr>
            <w:r w:rsidRPr="0014335A">
              <w:rPr>
                <w:rFonts w:ascii="Calibri" w:eastAsia="Times New Roman" w:hAnsi="Calibri" w:cs="Calibri"/>
                <w:sz w:val="20"/>
                <w:szCs w:val="20"/>
              </w:rPr>
              <w:t>45.96</w:t>
            </w:r>
          </w:p>
        </w:tc>
        <w:tc>
          <w:tcPr>
            <w:tcW w:w="1020" w:type="dxa"/>
            <w:tcBorders>
              <w:top w:val="nil"/>
              <w:left w:val="nil"/>
              <w:bottom w:val="single" w:sz="4" w:space="0" w:color="auto"/>
              <w:right w:val="single" w:sz="4" w:space="0" w:color="auto"/>
            </w:tcBorders>
            <w:shd w:val="clear" w:color="auto" w:fill="auto"/>
            <w:noWrap/>
            <w:vAlign w:val="bottom"/>
            <w:hideMark/>
          </w:tcPr>
          <w:p w14:paraId="6E44B62E" w14:textId="77777777" w:rsidR="003D38C6" w:rsidRPr="0014335A" w:rsidRDefault="003D38C6" w:rsidP="00460015">
            <w:pPr>
              <w:jc w:val="right"/>
              <w:rPr>
                <w:rFonts w:ascii="Calibri" w:eastAsia="Times New Roman" w:hAnsi="Calibri" w:cs="Calibri"/>
                <w:sz w:val="20"/>
                <w:szCs w:val="20"/>
              </w:rPr>
            </w:pPr>
            <w:r w:rsidRPr="0014335A">
              <w:rPr>
                <w:rFonts w:ascii="Calibri" w:eastAsia="Times New Roman" w:hAnsi="Calibri" w:cs="Calibri"/>
                <w:sz w:val="20"/>
                <w:szCs w:val="20"/>
              </w:rPr>
              <w:t>15.10</w:t>
            </w:r>
          </w:p>
        </w:tc>
        <w:tc>
          <w:tcPr>
            <w:tcW w:w="1020" w:type="dxa"/>
            <w:tcBorders>
              <w:top w:val="nil"/>
              <w:left w:val="nil"/>
              <w:bottom w:val="single" w:sz="4" w:space="0" w:color="auto"/>
              <w:right w:val="single" w:sz="4" w:space="0" w:color="auto"/>
            </w:tcBorders>
            <w:shd w:val="clear" w:color="auto" w:fill="auto"/>
            <w:noWrap/>
            <w:vAlign w:val="bottom"/>
            <w:hideMark/>
          </w:tcPr>
          <w:p w14:paraId="5D0DF520" w14:textId="77777777" w:rsidR="003D38C6" w:rsidRPr="0014335A" w:rsidRDefault="003D38C6" w:rsidP="00460015">
            <w:pPr>
              <w:jc w:val="right"/>
              <w:rPr>
                <w:rFonts w:ascii="Calibri" w:eastAsia="Times New Roman" w:hAnsi="Calibri" w:cs="Calibri"/>
                <w:sz w:val="20"/>
                <w:szCs w:val="20"/>
              </w:rPr>
            </w:pPr>
            <w:r w:rsidRPr="0014335A">
              <w:rPr>
                <w:rFonts w:ascii="Calibri" w:eastAsia="Times New Roman" w:hAnsi="Calibri" w:cs="Calibri"/>
                <w:sz w:val="20"/>
                <w:szCs w:val="20"/>
              </w:rPr>
              <w:t>19.80</w:t>
            </w:r>
          </w:p>
        </w:tc>
      </w:tr>
      <w:tr w:rsidR="003D38C6" w:rsidRPr="0014335A" w14:paraId="783637FC" w14:textId="77777777" w:rsidTr="00460015">
        <w:trPr>
          <w:trHeight w:val="255"/>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39F85C97" w14:textId="77777777" w:rsidR="003D38C6" w:rsidRPr="0014335A" w:rsidRDefault="003D38C6" w:rsidP="00460015">
            <w:pPr>
              <w:rPr>
                <w:rFonts w:ascii="Calibri" w:eastAsia="Times New Roman" w:hAnsi="Calibri" w:cs="Calibri"/>
                <w:sz w:val="18"/>
                <w:szCs w:val="18"/>
              </w:rPr>
            </w:pPr>
            <w:r w:rsidRPr="0014335A">
              <w:rPr>
                <w:rFonts w:ascii="Calibri" w:eastAsia="Times New Roman" w:hAnsi="Calibri" w:cs="Calibri"/>
                <w:sz w:val="18"/>
                <w:szCs w:val="18"/>
              </w:rPr>
              <w:t xml:space="preserve">30 </w:t>
            </w:r>
            <w:proofErr w:type="spellStart"/>
            <w:r w:rsidRPr="0014335A">
              <w:rPr>
                <w:rFonts w:ascii="Calibri" w:eastAsia="Times New Roman" w:hAnsi="Calibri" w:cs="Calibri"/>
                <w:sz w:val="18"/>
                <w:szCs w:val="18"/>
              </w:rPr>
              <w:t>Yr</w:t>
            </w:r>
            <w:proofErr w:type="spellEnd"/>
            <w:r w:rsidRPr="0014335A">
              <w:rPr>
                <w:rFonts w:ascii="Calibri" w:eastAsia="Times New Roman" w:hAnsi="Calibri" w:cs="Calibri"/>
                <w:sz w:val="18"/>
                <w:szCs w:val="18"/>
              </w:rPr>
              <w:t xml:space="preserve"> Average</w:t>
            </w:r>
          </w:p>
        </w:tc>
        <w:tc>
          <w:tcPr>
            <w:tcW w:w="1020" w:type="dxa"/>
            <w:tcBorders>
              <w:top w:val="nil"/>
              <w:left w:val="nil"/>
              <w:bottom w:val="single" w:sz="4" w:space="0" w:color="auto"/>
              <w:right w:val="single" w:sz="4" w:space="0" w:color="auto"/>
            </w:tcBorders>
            <w:shd w:val="clear" w:color="auto" w:fill="auto"/>
            <w:noWrap/>
            <w:vAlign w:val="bottom"/>
            <w:hideMark/>
          </w:tcPr>
          <w:p w14:paraId="0804DEE8" w14:textId="77777777" w:rsidR="003D38C6" w:rsidRPr="0014335A" w:rsidRDefault="003D38C6" w:rsidP="00460015">
            <w:pPr>
              <w:jc w:val="right"/>
              <w:rPr>
                <w:rFonts w:ascii="Calibri" w:eastAsia="Times New Roman" w:hAnsi="Calibri" w:cs="Calibri"/>
                <w:sz w:val="20"/>
                <w:szCs w:val="20"/>
              </w:rPr>
            </w:pPr>
            <w:r w:rsidRPr="0014335A">
              <w:rPr>
                <w:rFonts w:ascii="Calibri" w:eastAsia="Times New Roman" w:hAnsi="Calibri" w:cs="Calibri"/>
                <w:sz w:val="20"/>
                <w:szCs w:val="20"/>
              </w:rPr>
              <w:t>46.48</w:t>
            </w:r>
          </w:p>
        </w:tc>
        <w:tc>
          <w:tcPr>
            <w:tcW w:w="1020" w:type="dxa"/>
            <w:tcBorders>
              <w:top w:val="nil"/>
              <w:left w:val="nil"/>
              <w:bottom w:val="single" w:sz="4" w:space="0" w:color="auto"/>
              <w:right w:val="single" w:sz="4" w:space="0" w:color="auto"/>
            </w:tcBorders>
            <w:shd w:val="clear" w:color="auto" w:fill="auto"/>
            <w:noWrap/>
            <w:vAlign w:val="bottom"/>
            <w:hideMark/>
          </w:tcPr>
          <w:p w14:paraId="3DE819C9" w14:textId="77777777" w:rsidR="003D38C6" w:rsidRPr="0014335A" w:rsidRDefault="003D38C6" w:rsidP="00460015">
            <w:pPr>
              <w:jc w:val="right"/>
              <w:rPr>
                <w:rFonts w:ascii="Calibri" w:eastAsia="Times New Roman" w:hAnsi="Calibri" w:cs="Calibri"/>
                <w:sz w:val="20"/>
                <w:szCs w:val="20"/>
              </w:rPr>
            </w:pPr>
            <w:r w:rsidRPr="0014335A">
              <w:rPr>
                <w:rFonts w:ascii="Calibri" w:eastAsia="Times New Roman" w:hAnsi="Calibri" w:cs="Calibri"/>
                <w:sz w:val="20"/>
                <w:szCs w:val="20"/>
              </w:rPr>
              <w:t>13.66</w:t>
            </w:r>
          </w:p>
        </w:tc>
        <w:tc>
          <w:tcPr>
            <w:tcW w:w="1020" w:type="dxa"/>
            <w:tcBorders>
              <w:top w:val="nil"/>
              <w:left w:val="nil"/>
              <w:bottom w:val="single" w:sz="4" w:space="0" w:color="auto"/>
              <w:right w:val="single" w:sz="4" w:space="0" w:color="auto"/>
            </w:tcBorders>
            <w:shd w:val="clear" w:color="auto" w:fill="auto"/>
            <w:noWrap/>
            <w:vAlign w:val="bottom"/>
            <w:hideMark/>
          </w:tcPr>
          <w:p w14:paraId="0C321402" w14:textId="77777777" w:rsidR="003D38C6" w:rsidRPr="0014335A" w:rsidRDefault="003D38C6" w:rsidP="00460015">
            <w:pPr>
              <w:jc w:val="right"/>
              <w:rPr>
                <w:rFonts w:ascii="Calibri" w:eastAsia="Times New Roman" w:hAnsi="Calibri" w:cs="Calibri"/>
                <w:sz w:val="20"/>
                <w:szCs w:val="20"/>
              </w:rPr>
            </w:pPr>
            <w:r w:rsidRPr="0014335A">
              <w:rPr>
                <w:rFonts w:ascii="Calibri" w:eastAsia="Times New Roman" w:hAnsi="Calibri" w:cs="Calibri"/>
                <w:sz w:val="20"/>
                <w:szCs w:val="20"/>
              </w:rPr>
              <w:t>18.96</w:t>
            </w:r>
          </w:p>
        </w:tc>
      </w:tr>
      <w:tr w:rsidR="003D38C6" w:rsidRPr="0014335A" w14:paraId="7B3CBF56" w14:textId="77777777" w:rsidTr="00460015">
        <w:trPr>
          <w:trHeight w:val="255"/>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530EC5A4" w14:textId="77777777" w:rsidR="003D38C6" w:rsidRPr="0014335A" w:rsidRDefault="003D38C6" w:rsidP="00460015">
            <w:pPr>
              <w:rPr>
                <w:rFonts w:ascii="Calibri" w:eastAsia="Times New Roman" w:hAnsi="Calibri" w:cs="Calibri"/>
                <w:sz w:val="18"/>
                <w:szCs w:val="18"/>
              </w:rPr>
            </w:pPr>
            <w:r w:rsidRPr="0014335A">
              <w:rPr>
                <w:rFonts w:ascii="Calibri" w:eastAsia="Times New Roman" w:hAnsi="Calibri" w:cs="Calibri"/>
                <w:sz w:val="18"/>
                <w:szCs w:val="18"/>
              </w:rPr>
              <w:t>Avg Since Inception</w:t>
            </w:r>
          </w:p>
        </w:tc>
        <w:tc>
          <w:tcPr>
            <w:tcW w:w="1020" w:type="dxa"/>
            <w:tcBorders>
              <w:top w:val="nil"/>
              <w:left w:val="nil"/>
              <w:bottom w:val="single" w:sz="4" w:space="0" w:color="auto"/>
              <w:right w:val="single" w:sz="4" w:space="0" w:color="auto"/>
            </w:tcBorders>
            <w:shd w:val="clear" w:color="auto" w:fill="auto"/>
            <w:noWrap/>
            <w:vAlign w:val="bottom"/>
            <w:hideMark/>
          </w:tcPr>
          <w:p w14:paraId="78C11198" w14:textId="77777777" w:rsidR="003D38C6" w:rsidRPr="0014335A" w:rsidRDefault="003D38C6" w:rsidP="00460015">
            <w:pPr>
              <w:jc w:val="right"/>
              <w:rPr>
                <w:rFonts w:ascii="Calibri" w:eastAsia="Times New Roman" w:hAnsi="Calibri" w:cs="Calibri"/>
                <w:sz w:val="20"/>
                <w:szCs w:val="20"/>
              </w:rPr>
            </w:pPr>
            <w:r w:rsidRPr="0014335A">
              <w:rPr>
                <w:rFonts w:ascii="Calibri" w:eastAsia="Times New Roman" w:hAnsi="Calibri" w:cs="Calibri"/>
                <w:sz w:val="20"/>
                <w:szCs w:val="20"/>
              </w:rPr>
              <w:t>46.50</w:t>
            </w:r>
          </w:p>
        </w:tc>
        <w:tc>
          <w:tcPr>
            <w:tcW w:w="1020" w:type="dxa"/>
            <w:tcBorders>
              <w:top w:val="nil"/>
              <w:left w:val="nil"/>
              <w:bottom w:val="single" w:sz="4" w:space="0" w:color="auto"/>
              <w:right w:val="single" w:sz="4" w:space="0" w:color="auto"/>
            </w:tcBorders>
            <w:shd w:val="clear" w:color="auto" w:fill="auto"/>
            <w:noWrap/>
            <w:vAlign w:val="bottom"/>
            <w:hideMark/>
          </w:tcPr>
          <w:p w14:paraId="21CCFF70" w14:textId="77777777" w:rsidR="003D38C6" w:rsidRPr="0014335A" w:rsidRDefault="003D38C6" w:rsidP="00460015">
            <w:pPr>
              <w:jc w:val="right"/>
              <w:rPr>
                <w:rFonts w:ascii="Calibri" w:eastAsia="Times New Roman" w:hAnsi="Calibri" w:cs="Calibri"/>
                <w:sz w:val="20"/>
                <w:szCs w:val="20"/>
              </w:rPr>
            </w:pPr>
            <w:r w:rsidRPr="0014335A">
              <w:rPr>
                <w:rFonts w:ascii="Calibri" w:eastAsia="Times New Roman" w:hAnsi="Calibri" w:cs="Calibri"/>
                <w:sz w:val="20"/>
                <w:szCs w:val="20"/>
              </w:rPr>
              <w:t>14.04</w:t>
            </w:r>
          </w:p>
        </w:tc>
        <w:tc>
          <w:tcPr>
            <w:tcW w:w="1020" w:type="dxa"/>
            <w:tcBorders>
              <w:top w:val="nil"/>
              <w:left w:val="nil"/>
              <w:bottom w:val="single" w:sz="4" w:space="0" w:color="auto"/>
              <w:right w:val="single" w:sz="4" w:space="0" w:color="auto"/>
            </w:tcBorders>
            <w:shd w:val="clear" w:color="auto" w:fill="auto"/>
            <w:noWrap/>
            <w:vAlign w:val="bottom"/>
            <w:hideMark/>
          </w:tcPr>
          <w:p w14:paraId="5070320B" w14:textId="77777777" w:rsidR="003D38C6" w:rsidRPr="0014335A" w:rsidRDefault="003D38C6" w:rsidP="00460015">
            <w:pPr>
              <w:jc w:val="right"/>
              <w:rPr>
                <w:rFonts w:ascii="Calibri" w:eastAsia="Times New Roman" w:hAnsi="Calibri" w:cs="Calibri"/>
                <w:sz w:val="20"/>
                <w:szCs w:val="20"/>
              </w:rPr>
            </w:pPr>
            <w:r w:rsidRPr="0014335A">
              <w:rPr>
                <w:rFonts w:ascii="Calibri" w:eastAsia="Times New Roman" w:hAnsi="Calibri" w:cs="Calibri"/>
                <w:sz w:val="20"/>
                <w:szCs w:val="20"/>
              </w:rPr>
              <w:t>18.56</w:t>
            </w:r>
          </w:p>
        </w:tc>
      </w:tr>
      <w:tr w:rsidR="003D38C6" w:rsidRPr="0014335A" w14:paraId="74A3AA78" w14:textId="77777777" w:rsidTr="00460015">
        <w:trPr>
          <w:trHeight w:val="255"/>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6485434C" w14:textId="77777777" w:rsidR="003D38C6" w:rsidRPr="0014335A" w:rsidRDefault="003D38C6" w:rsidP="00460015">
            <w:pPr>
              <w:rPr>
                <w:rFonts w:ascii="Calibri" w:eastAsia="Times New Roman" w:hAnsi="Calibri" w:cs="Calibri"/>
                <w:sz w:val="18"/>
                <w:szCs w:val="18"/>
              </w:rPr>
            </w:pPr>
            <w:r w:rsidRPr="0014335A">
              <w:rPr>
                <w:rFonts w:ascii="Calibri" w:eastAsia="Times New Roman" w:hAnsi="Calibri" w:cs="Calibri"/>
                <w:sz w:val="18"/>
                <w:szCs w:val="18"/>
              </w:rPr>
              <w:t>Max</w:t>
            </w:r>
          </w:p>
        </w:tc>
        <w:tc>
          <w:tcPr>
            <w:tcW w:w="1020" w:type="dxa"/>
            <w:tcBorders>
              <w:top w:val="nil"/>
              <w:left w:val="nil"/>
              <w:bottom w:val="single" w:sz="4" w:space="0" w:color="auto"/>
              <w:right w:val="single" w:sz="4" w:space="0" w:color="auto"/>
            </w:tcBorders>
            <w:shd w:val="clear" w:color="auto" w:fill="auto"/>
            <w:noWrap/>
            <w:vAlign w:val="bottom"/>
            <w:hideMark/>
          </w:tcPr>
          <w:p w14:paraId="67739A97" w14:textId="77777777" w:rsidR="003D38C6" w:rsidRPr="0014335A" w:rsidRDefault="003D38C6" w:rsidP="00460015">
            <w:pPr>
              <w:jc w:val="right"/>
              <w:rPr>
                <w:rFonts w:ascii="Calibri" w:eastAsia="Times New Roman" w:hAnsi="Calibri" w:cs="Calibri"/>
                <w:sz w:val="20"/>
                <w:szCs w:val="20"/>
              </w:rPr>
            </w:pPr>
            <w:r w:rsidRPr="0014335A">
              <w:rPr>
                <w:rFonts w:ascii="Calibri" w:eastAsia="Times New Roman" w:hAnsi="Calibri" w:cs="Calibri"/>
                <w:sz w:val="20"/>
                <w:szCs w:val="20"/>
              </w:rPr>
              <w:t>64.25</w:t>
            </w:r>
          </w:p>
        </w:tc>
        <w:tc>
          <w:tcPr>
            <w:tcW w:w="1020" w:type="dxa"/>
            <w:tcBorders>
              <w:top w:val="nil"/>
              <w:left w:val="nil"/>
              <w:bottom w:val="single" w:sz="4" w:space="0" w:color="auto"/>
              <w:right w:val="single" w:sz="4" w:space="0" w:color="auto"/>
            </w:tcBorders>
            <w:shd w:val="clear" w:color="auto" w:fill="auto"/>
            <w:noWrap/>
            <w:vAlign w:val="bottom"/>
            <w:hideMark/>
          </w:tcPr>
          <w:p w14:paraId="58FE86D8" w14:textId="77777777" w:rsidR="003D38C6" w:rsidRPr="0014335A" w:rsidRDefault="003D38C6" w:rsidP="00460015">
            <w:pPr>
              <w:jc w:val="right"/>
              <w:rPr>
                <w:rFonts w:ascii="Calibri" w:eastAsia="Times New Roman" w:hAnsi="Calibri" w:cs="Calibri"/>
                <w:sz w:val="20"/>
                <w:szCs w:val="20"/>
              </w:rPr>
            </w:pPr>
            <w:r w:rsidRPr="0014335A">
              <w:rPr>
                <w:rFonts w:ascii="Calibri" w:eastAsia="Times New Roman" w:hAnsi="Calibri" w:cs="Calibri"/>
                <w:sz w:val="20"/>
                <w:szCs w:val="20"/>
              </w:rPr>
              <w:t>113.13</w:t>
            </w:r>
          </w:p>
        </w:tc>
        <w:tc>
          <w:tcPr>
            <w:tcW w:w="1020" w:type="dxa"/>
            <w:tcBorders>
              <w:top w:val="nil"/>
              <w:left w:val="nil"/>
              <w:bottom w:val="single" w:sz="4" w:space="0" w:color="auto"/>
              <w:right w:val="single" w:sz="4" w:space="0" w:color="auto"/>
            </w:tcBorders>
            <w:shd w:val="clear" w:color="auto" w:fill="auto"/>
            <w:noWrap/>
            <w:vAlign w:val="bottom"/>
            <w:hideMark/>
          </w:tcPr>
          <w:p w14:paraId="3787ED34" w14:textId="77777777" w:rsidR="003D38C6" w:rsidRPr="0014335A" w:rsidRDefault="003D38C6" w:rsidP="00460015">
            <w:pPr>
              <w:jc w:val="right"/>
              <w:rPr>
                <w:rFonts w:ascii="Calibri" w:eastAsia="Times New Roman" w:hAnsi="Calibri" w:cs="Calibri"/>
                <w:sz w:val="20"/>
                <w:szCs w:val="20"/>
              </w:rPr>
            </w:pPr>
            <w:r w:rsidRPr="0014335A">
              <w:rPr>
                <w:rFonts w:ascii="Calibri" w:eastAsia="Times New Roman" w:hAnsi="Calibri" w:cs="Calibri"/>
                <w:sz w:val="20"/>
                <w:szCs w:val="20"/>
              </w:rPr>
              <w:t>38.02</w:t>
            </w:r>
          </w:p>
        </w:tc>
      </w:tr>
      <w:tr w:rsidR="003D38C6" w:rsidRPr="0014335A" w14:paraId="5D05145F" w14:textId="77777777" w:rsidTr="00460015">
        <w:trPr>
          <w:trHeight w:val="255"/>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45CFC1D8" w14:textId="77777777" w:rsidR="003D38C6" w:rsidRPr="0014335A" w:rsidRDefault="003D38C6" w:rsidP="00460015">
            <w:pPr>
              <w:rPr>
                <w:rFonts w:ascii="Calibri" w:eastAsia="Times New Roman" w:hAnsi="Calibri" w:cs="Calibri"/>
                <w:sz w:val="18"/>
                <w:szCs w:val="18"/>
              </w:rPr>
            </w:pPr>
            <w:r w:rsidRPr="0014335A">
              <w:rPr>
                <w:rFonts w:ascii="Calibri" w:eastAsia="Times New Roman" w:hAnsi="Calibri" w:cs="Calibri"/>
                <w:sz w:val="18"/>
                <w:szCs w:val="18"/>
              </w:rPr>
              <w:t>Min</w:t>
            </w:r>
          </w:p>
        </w:tc>
        <w:tc>
          <w:tcPr>
            <w:tcW w:w="1020" w:type="dxa"/>
            <w:tcBorders>
              <w:top w:val="nil"/>
              <w:left w:val="nil"/>
              <w:bottom w:val="single" w:sz="4" w:space="0" w:color="auto"/>
              <w:right w:val="single" w:sz="4" w:space="0" w:color="auto"/>
            </w:tcBorders>
            <w:shd w:val="clear" w:color="auto" w:fill="auto"/>
            <w:noWrap/>
            <w:vAlign w:val="bottom"/>
            <w:hideMark/>
          </w:tcPr>
          <w:p w14:paraId="4E4C45DF" w14:textId="77777777" w:rsidR="003D38C6" w:rsidRPr="0014335A" w:rsidRDefault="003D38C6" w:rsidP="00460015">
            <w:pPr>
              <w:jc w:val="right"/>
              <w:rPr>
                <w:rFonts w:ascii="Calibri" w:eastAsia="Times New Roman" w:hAnsi="Calibri" w:cs="Calibri"/>
                <w:sz w:val="20"/>
                <w:szCs w:val="20"/>
              </w:rPr>
            </w:pPr>
            <w:r w:rsidRPr="0014335A">
              <w:rPr>
                <w:rFonts w:ascii="Calibri" w:eastAsia="Times New Roman" w:hAnsi="Calibri" w:cs="Calibri"/>
                <w:sz w:val="20"/>
                <w:szCs w:val="20"/>
              </w:rPr>
              <w:t>20.83</w:t>
            </w:r>
          </w:p>
        </w:tc>
        <w:tc>
          <w:tcPr>
            <w:tcW w:w="1020" w:type="dxa"/>
            <w:tcBorders>
              <w:top w:val="nil"/>
              <w:left w:val="nil"/>
              <w:bottom w:val="single" w:sz="4" w:space="0" w:color="auto"/>
              <w:right w:val="single" w:sz="4" w:space="0" w:color="auto"/>
            </w:tcBorders>
            <w:shd w:val="clear" w:color="auto" w:fill="auto"/>
            <w:noWrap/>
            <w:vAlign w:val="bottom"/>
            <w:hideMark/>
          </w:tcPr>
          <w:p w14:paraId="5F216403" w14:textId="77777777" w:rsidR="003D38C6" w:rsidRPr="0014335A" w:rsidRDefault="003D38C6" w:rsidP="00460015">
            <w:pPr>
              <w:jc w:val="right"/>
              <w:rPr>
                <w:rFonts w:ascii="Calibri" w:eastAsia="Times New Roman" w:hAnsi="Calibri" w:cs="Calibri"/>
                <w:sz w:val="20"/>
                <w:szCs w:val="20"/>
              </w:rPr>
            </w:pPr>
            <w:r w:rsidRPr="0014335A">
              <w:rPr>
                <w:rFonts w:ascii="Calibri" w:eastAsia="Times New Roman" w:hAnsi="Calibri" w:cs="Calibri"/>
                <w:sz w:val="20"/>
                <w:szCs w:val="20"/>
              </w:rPr>
              <w:t>-7.86</w:t>
            </w:r>
          </w:p>
        </w:tc>
        <w:tc>
          <w:tcPr>
            <w:tcW w:w="1020" w:type="dxa"/>
            <w:tcBorders>
              <w:top w:val="nil"/>
              <w:left w:val="nil"/>
              <w:bottom w:val="single" w:sz="4" w:space="0" w:color="auto"/>
              <w:right w:val="single" w:sz="4" w:space="0" w:color="auto"/>
            </w:tcBorders>
            <w:shd w:val="clear" w:color="auto" w:fill="auto"/>
            <w:noWrap/>
            <w:vAlign w:val="bottom"/>
            <w:hideMark/>
          </w:tcPr>
          <w:p w14:paraId="1F06A56D" w14:textId="77777777" w:rsidR="003D38C6" w:rsidRPr="0014335A" w:rsidRDefault="003D38C6" w:rsidP="00460015">
            <w:pPr>
              <w:jc w:val="right"/>
              <w:rPr>
                <w:rFonts w:ascii="Calibri" w:eastAsia="Times New Roman" w:hAnsi="Calibri" w:cs="Calibri"/>
                <w:sz w:val="20"/>
                <w:szCs w:val="20"/>
              </w:rPr>
            </w:pPr>
            <w:r w:rsidRPr="0014335A">
              <w:rPr>
                <w:rFonts w:ascii="Calibri" w:eastAsia="Times New Roman" w:hAnsi="Calibri" w:cs="Calibri"/>
                <w:sz w:val="20"/>
                <w:szCs w:val="20"/>
              </w:rPr>
              <w:t>0.23</w:t>
            </w:r>
          </w:p>
        </w:tc>
      </w:tr>
    </w:tbl>
    <w:p w14:paraId="26EB6F2F" w14:textId="77777777" w:rsidR="003D38C6" w:rsidRPr="006507A9" w:rsidRDefault="003D38C6" w:rsidP="003D38C6">
      <w:pPr>
        <w:jc w:val="both"/>
        <w:rPr>
          <w:rFonts w:cstheme="minorHAnsi"/>
          <w:bCs/>
          <w:sz w:val="16"/>
          <w:szCs w:val="16"/>
        </w:rPr>
      </w:pPr>
      <w:r w:rsidRPr="006507A9">
        <w:rPr>
          <w:rFonts w:cstheme="minorHAnsi"/>
          <w:bCs/>
          <w:sz w:val="16"/>
          <w:szCs w:val="16"/>
        </w:rPr>
        <w:t>In $ Millions</w:t>
      </w:r>
    </w:p>
    <w:p w14:paraId="31151C6A" w14:textId="77777777" w:rsidR="003D38C6" w:rsidRPr="009E1CDA" w:rsidRDefault="003D38C6" w:rsidP="003D38C6">
      <w:pPr>
        <w:jc w:val="both"/>
        <w:rPr>
          <w:rFonts w:cstheme="minorHAnsi"/>
          <w:b/>
          <w:sz w:val="24"/>
          <w:szCs w:val="24"/>
        </w:rPr>
      </w:pPr>
    </w:p>
    <w:p w14:paraId="15156EC5" w14:textId="77777777" w:rsidR="003D38C6" w:rsidRDefault="003D38C6" w:rsidP="003D38C6">
      <w:pPr>
        <w:rPr>
          <w:rFonts w:cstheme="minorHAnsi"/>
          <w:b/>
          <w:sz w:val="32"/>
          <w:szCs w:val="32"/>
        </w:rPr>
      </w:pPr>
      <w:r w:rsidRPr="00037C08">
        <w:rPr>
          <w:rFonts w:cstheme="minorHAnsi"/>
          <w:b/>
          <w:sz w:val="32"/>
          <w:szCs w:val="32"/>
        </w:rPr>
        <w:t>Major Sources of Income</w:t>
      </w:r>
    </w:p>
    <w:p w14:paraId="72473988" w14:textId="77777777" w:rsidR="003D38C6" w:rsidRDefault="003D38C6" w:rsidP="003D38C6">
      <w:pPr>
        <w:rPr>
          <w:rFonts w:cstheme="minorHAnsi"/>
          <w:b/>
          <w:sz w:val="32"/>
          <w:szCs w:val="32"/>
        </w:rPr>
      </w:pPr>
      <w:r>
        <w:rPr>
          <w:noProof/>
        </w:rPr>
        <w:drawing>
          <wp:inline distT="0" distB="0" distL="0" distR="0" wp14:anchorId="3C2A845B" wp14:editId="2A892B12">
            <wp:extent cx="5314950" cy="3367088"/>
            <wp:effectExtent l="0" t="0" r="0" b="5080"/>
            <wp:docPr id="2031207264" name="Chart 2031207264">
              <a:extLst xmlns:a="http://schemas.openxmlformats.org/drawingml/2006/main">
                <a:ext uri="{FF2B5EF4-FFF2-40B4-BE49-F238E27FC236}">
                  <a16:creationId xmlns:a16="http://schemas.microsoft.com/office/drawing/2014/main" id="{C418A910-E370-880D-C7DE-CC42F18767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176F890" w14:textId="77777777" w:rsidR="003D38C6" w:rsidRDefault="003D38C6" w:rsidP="003D38C6">
      <w:pPr>
        <w:jc w:val="both"/>
        <w:rPr>
          <w:rFonts w:cstheme="minorHAnsi"/>
          <w:b/>
          <w:sz w:val="32"/>
          <w:szCs w:val="32"/>
        </w:rPr>
      </w:pPr>
    </w:p>
    <w:p w14:paraId="36CEB0CE" w14:textId="77777777" w:rsidR="003D38C6" w:rsidRDefault="003D38C6" w:rsidP="003D38C6">
      <w:pPr>
        <w:jc w:val="both"/>
        <w:rPr>
          <w:rFonts w:cstheme="minorHAnsi"/>
          <w:b/>
          <w:sz w:val="32"/>
          <w:szCs w:val="32"/>
        </w:rPr>
      </w:pPr>
    </w:p>
    <w:p w14:paraId="49EB8C30" w14:textId="77777777" w:rsidR="003D38C6" w:rsidRDefault="003D38C6" w:rsidP="003D38C6">
      <w:pPr>
        <w:jc w:val="both"/>
        <w:rPr>
          <w:rFonts w:cstheme="minorHAnsi"/>
          <w:b/>
          <w:sz w:val="32"/>
          <w:szCs w:val="32"/>
        </w:rPr>
      </w:pPr>
    </w:p>
    <w:p w14:paraId="299F0FD0" w14:textId="134AE7FE" w:rsidR="003C62A2" w:rsidRDefault="003C62A2">
      <w:pPr>
        <w:rPr>
          <w:rFonts w:cstheme="minorHAnsi"/>
          <w:b/>
          <w:sz w:val="32"/>
          <w:szCs w:val="32"/>
        </w:rPr>
      </w:pPr>
      <w:r>
        <w:rPr>
          <w:rFonts w:cstheme="minorHAnsi"/>
          <w:b/>
          <w:sz w:val="32"/>
          <w:szCs w:val="32"/>
        </w:rPr>
        <w:br w:type="page"/>
      </w:r>
    </w:p>
    <w:p w14:paraId="474B5A54" w14:textId="77777777" w:rsidR="00B90520" w:rsidRPr="00D77D53" w:rsidRDefault="00B90520" w:rsidP="00B90520">
      <w:pPr>
        <w:rPr>
          <w:rFonts w:ascii="Calibri" w:eastAsia="Times New Roman" w:hAnsi="Calibri" w:cs="Calibri"/>
          <w:b/>
          <w:sz w:val="32"/>
          <w:szCs w:val="32"/>
        </w:rPr>
      </w:pPr>
      <w:r w:rsidRPr="00D77D53">
        <w:rPr>
          <w:rFonts w:ascii="Calibri" w:eastAsia="Times New Roman" w:hAnsi="Calibri" w:cs="Calibri"/>
          <w:b/>
          <w:sz w:val="32"/>
          <w:szCs w:val="32"/>
        </w:rPr>
        <w:lastRenderedPageBreak/>
        <w:t>History of LEQTF Royalty Payments</w:t>
      </w:r>
    </w:p>
    <w:tbl>
      <w:tblPr>
        <w:tblW w:w="5800" w:type="dxa"/>
        <w:tblInd w:w="-5" w:type="dxa"/>
        <w:tblLook w:val="04A0" w:firstRow="1" w:lastRow="0" w:firstColumn="1" w:lastColumn="0" w:noHBand="0" w:noVBand="1"/>
      </w:tblPr>
      <w:tblGrid>
        <w:gridCol w:w="981"/>
        <w:gridCol w:w="1559"/>
        <w:gridCol w:w="280"/>
        <w:gridCol w:w="1557"/>
        <w:gridCol w:w="218"/>
        <w:gridCol w:w="1366"/>
      </w:tblGrid>
      <w:tr w:rsidR="00B90520" w:rsidRPr="005B77DD" w14:paraId="5D020786" w14:textId="77777777" w:rsidTr="00460015">
        <w:trPr>
          <w:trHeight w:val="300"/>
        </w:trPr>
        <w:tc>
          <w:tcPr>
            <w:tcW w:w="2540" w:type="dxa"/>
            <w:gridSpan w:val="2"/>
            <w:tcBorders>
              <w:top w:val="nil"/>
              <w:left w:val="nil"/>
              <w:bottom w:val="nil"/>
              <w:right w:val="nil"/>
            </w:tcBorders>
            <w:shd w:val="clear" w:color="auto" w:fill="auto"/>
            <w:noWrap/>
            <w:vAlign w:val="center"/>
            <w:hideMark/>
          </w:tcPr>
          <w:p w14:paraId="30D51984" w14:textId="77777777" w:rsidR="00B90520" w:rsidRPr="005B77DD" w:rsidRDefault="00B90520" w:rsidP="00460015">
            <w:pPr>
              <w:rPr>
                <w:rFonts w:ascii="Arial" w:eastAsia="Times New Roman" w:hAnsi="Arial" w:cs="Arial"/>
                <w:color w:val="000000"/>
                <w:sz w:val="16"/>
                <w:szCs w:val="16"/>
              </w:rPr>
            </w:pPr>
            <w:r w:rsidRPr="005B77DD">
              <w:rPr>
                <w:rFonts w:ascii="Arial" w:eastAsia="Times New Roman" w:hAnsi="Arial" w:cs="Arial"/>
                <w:color w:val="000000"/>
                <w:sz w:val="16"/>
                <w:szCs w:val="16"/>
              </w:rPr>
              <w:t>LEQTF/8g ROYALTIES</w:t>
            </w:r>
          </w:p>
        </w:tc>
        <w:tc>
          <w:tcPr>
            <w:tcW w:w="280" w:type="dxa"/>
            <w:tcBorders>
              <w:top w:val="nil"/>
              <w:left w:val="nil"/>
              <w:bottom w:val="nil"/>
              <w:right w:val="nil"/>
            </w:tcBorders>
            <w:shd w:val="clear" w:color="auto" w:fill="auto"/>
            <w:noWrap/>
            <w:vAlign w:val="center"/>
            <w:hideMark/>
          </w:tcPr>
          <w:p w14:paraId="7A409DFD" w14:textId="77777777" w:rsidR="00B90520" w:rsidRPr="005B77DD" w:rsidRDefault="00B90520" w:rsidP="00460015">
            <w:pPr>
              <w:rPr>
                <w:rFonts w:ascii="Arial" w:eastAsia="Times New Roman" w:hAnsi="Arial" w:cs="Arial"/>
                <w:color w:val="000000"/>
                <w:sz w:val="16"/>
                <w:szCs w:val="16"/>
              </w:rPr>
            </w:pPr>
          </w:p>
        </w:tc>
        <w:tc>
          <w:tcPr>
            <w:tcW w:w="2980" w:type="dxa"/>
            <w:gridSpan w:val="3"/>
            <w:tcBorders>
              <w:top w:val="nil"/>
              <w:left w:val="nil"/>
              <w:bottom w:val="nil"/>
              <w:right w:val="nil"/>
            </w:tcBorders>
            <w:shd w:val="clear" w:color="auto" w:fill="auto"/>
            <w:noWrap/>
            <w:vAlign w:val="center"/>
            <w:hideMark/>
          </w:tcPr>
          <w:p w14:paraId="1BF9E63A" w14:textId="77777777" w:rsidR="00B90520" w:rsidRPr="005B77DD" w:rsidRDefault="00B90520" w:rsidP="00460015">
            <w:pPr>
              <w:rPr>
                <w:rFonts w:ascii="Arial" w:eastAsia="Times New Roman" w:hAnsi="Arial" w:cs="Arial"/>
                <w:color w:val="000000"/>
                <w:sz w:val="16"/>
                <w:szCs w:val="16"/>
              </w:rPr>
            </w:pPr>
            <w:r w:rsidRPr="005B77DD">
              <w:rPr>
                <w:rFonts w:ascii="Arial" w:eastAsia="Times New Roman" w:hAnsi="Arial" w:cs="Arial"/>
                <w:color w:val="000000"/>
                <w:sz w:val="16"/>
                <w:szCs w:val="16"/>
              </w:rPr>
              <w:t>LEQTF/8g ROYALTIES</w:t>
            </w:r>
          </w:p>
        </w:tc>
      </w:tr>
      <w:tr w:rsidR="00B90520" w:rsidRPr="005B77DD" w14:paraId="0783A32B" w14:textId="77777777" w:rsidTr="00460015">
        <w:trPr>
          <w:trHeight w:val="300"/>
        </w:trPr>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79252" w14:textId="77777777" w:rsidR="00B90520" w:rsidRPr="005B77DD" w:rsidRDefault="00B90520" w:rsidP="00460015">
            <w:pPr>
              <w:jc w:val="center"/>
              <w:rPr>
                <w:rFonts w:ascii="Arial" w:eastAsia="Times New Roman" w:hAnsi="Arial" w:cs="Arial"/>
                <w:color w:val="000000"/>
                <w:sz w:val="16"/>
                <w:szCs w:val="16"/>
                <w:u w:val="single"/>
              </w:rPr>
            </w:pPr>
            <w:r w:rsidRPr="005B77DD">
              <w:rPr>
                <w:rFonts w:ascii="Arial" w:eastAsia="Times New Roman" w:hAnsi="Arial" w:cs="Arial"/>
                <w:color w:val="000000"/>
                <w:sz w:val="16"/>
                <w:szCs w:val="16"/>
                <w:u w:val="single"/>
              </w:rPr>
              <w:t>Fiscal Year</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BE52A2F" w14:textId="77777777" w:rsidR="00B90520" w:rsidRPr="005B77DD" w:rsidRDefault="00B90520" w:rsidP="00460015">
            <w:pPr>
              <w:jc w:val="center"/>
              <w:rPr>
                <w:rFonts w:ascii="Arial" w:eastAsia="Times New Roman" w:hAnsi="Arial" w:cs="Arial"/>
                <w:color w:val="000000"/>
                <w:sz w:val="16"/>
                <w:szCs w:val="16"/>
                <w:u w:val="single"/>
              </w:rPr>
            </w:pPr>
            <w:r w:rsidRPr="005B77DD">
              <w:rPr>
                <w:rFonts w:ascii="Arial" w:eastAsia="Times New Roman" w:hAnsi="Arial" w:cs="Arial"/>
                <w:color w:val="000000"/>
                <w:sz w:val="16"/>
                <w:szCs w:val="16"/>
                <w:u w:val="single"/>
              </w:rPr>
              <w:t>Royalty Payments</w:t>
            </w:r>
          </w:p>
        </w:tc>
        <w:tc>
          <w:tcPr>
            <w:tcW w:w="280" w:type="dxa"/>
            <w:tcBorders>
              <w:top w:val="nil"/>
              <w:left w:val="nil"/>
              <w:bottom w:val="nil"/>
              <w:right w:val="nil"/>
            </w:tcBorders>
            <w:shd w:val="clear" w:color="auto" w:fill="auto"/>
            <w:noWrap/>
            <w:vAlign w:val="center"/>
            <w:hideMark/>
          </w:tcPr>
          <w:p w14:paraId="4190111C" w14:textId="77777777" w:rsidR="00B90520" w:rsidRPr="005B77DD" w:rsidRDefault="00B90520" w:rsidP="00460015">
            <w:pPr>
              <w:jc w:val="center"/>
              <w:rPr>
                <w:rFonts w:ascii="Arial" w:eastAsia="Times New Roman" w:hAnsi="Arial" w:cs="Arial"/>
                <w:color w:val="000000"/>
                <w:sz w:val="16"/>
                <w:szCs w:val="16"/>
                <w:u w:val="single"/>
              </w:rPr>
            </w:pPr>
          </w:p>
        </w:tc>
        <w:tc>
          <w:tcPr>
            <w:tcW w:w="1775" w:type="dxa"/>
            <w:gridSpan w:val="2"/>
            <w:tcBorders>
              <w:top w:val="single" w:sz="4" w:space="0" w:color="auto"/>
              <w:left w:val="single" w:sz="4" w:space="0" w:color="auto"/>
              <w:bottom w:val="nil"/>
              <w:right w:val="single" w:sz="4" w:space="0" w:color="auto"/>
            </w:tcBorders>
            <w:shd w:val="clear" w:color="auto" w:fill="auto"/>
            <w:noWrap/>
            <w:vAlign w:val="bottom"/>
            <w:hideMark/>
          </w:tcPr>
          <w:p w14:paraId="4EED3650" w14:textId="77777777" w:rsidR="00B90520" w:rsidRPr="005B77DD" w:rsidRDefault="00B90520" w:rsidP="00460015">
            <w:pPr>
              <w:rPr>
                <w:rFonts w:ascii="Arial" w:eastAsia="Times New Roman" w:hAnsi="Arial" w:cs="Arial"/>
                <w:sz w:val="16"/>
                <w:szCs w:val="16"/>
              </w:rPr>
            </w:pPr>
            <w:r w:rsidRPr="005B77DD">
              <w:rPr>
                <w:rFonts w:ascii="Arial" w:eastAsia="Times New Roman" w:hAnsi="Arial" w:cs="Arial"/>
                <w:sz w:val="16"/>
                <w:szCs w:val="16"/>
              </w:rPr>
              <w:t> </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7D497E6A" w14:textId="77777777" w:rsidR="00B90520" w:rsidRPr="005B77DD" w:rsidRDefault="00B90520" w:rsidP="00460015">
            <w:pPr>
              <w:jc w:val="center"/>
              <w:rPr>
                <w:rFonts w:ascii="Arial" w:eastAsia="Times New Roman" w:hAnsi="Arial" w:cs="Arial"/>
                <w:color w:val="000000"/>
                <w:sz w:val="16"/>
                <w:szCs w:val="16"/>
              </w:rPr>
            </w:pPr>
            <w:r w:rsidRPr="005B77DD">
              <w:rPr>
                <w:rFonts w:ascii="Arial" w:eastAsia="Times New Roman" w:hAnsi="Arial" w:cs="Arial"/>
                <w:color w:val="000000"/>
                <w:sz w:val="16"/>
                <w:szCs w:val="16"/>
              </w:rPr>
              <w:t>Royalty Payments</w:t>
            </w:r>
          </w:p>
        </w:tc>
      </w:tr>
      <w:tr w:rsidR="00B90520" w:rsidRPr="005B77DD" w14:paraId="31FD8363" w14:textId="77777777" w:rsidTr="00460015">
        <w:trPr>
          <w:trHeight w:val="274"/>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6017696F" w14:textId="77777777" w:rsidR="00B90520" w:rsidRPr="005B77DD" w:rsidRDefault="00B90520" w:rsidP="00460015">
            <w:pPr>
              <w:rPr>
                <w:rFonts w:ascii="Arial" w:eastAsia="Times New Roman" w:hAnsi="Arial" w:cs="Arial"/>
                <w:color w:val="000000"/>
                <w:sz w:val="16"/>
                <w:szCs w:val="16"/>
              </w:rPr>
            </w:pPr>
            <w:r w:rsidRPr="005B77DD">
              <w:rPr>
                <w:rFonts w:ascii="Arial" w:eastAsia="Times New Roman" w:hAnsi="Arial" w:cs="Arial"/>
                <w:color w:val="000000"/>
                <w:sz w:val="16"/>
                <w:szCs w:val="16"/>
              </w:rPr>
              <w:t>FY 86-87</w:t>
            </w:r>
          </w:p>
        </w:tc>
        <w:tc>
          <w:tcPr>
            <w:tcW w:w="1559" w:type="dxa"/>
            <w:tcBorders>
              <w:top w:val="nil"/>
              <w:left w:val="nil"/>
              <w:bottom w:val="single" w:sz="4" w:space="0" w:color="auto"/>
              <w:right w:val="single" w:sz="4" w:space="0" w:color="auto"/>
            </w:tcBorders>
            <w:shd w:val="clear" w:color="auto" w:fill="auto"/>
            <w:noWrap/>
            <w:vAlign w:val="center"/>
            <w:hideMark/>
          </w:tcPr>
          <w:p w14:paraId="7D34A5BB" w14:textId="77777777" w:rsidR="00B90520" w:rsidRPr="005B77DD" w:rsidRDefault="00B90520" w:rsidP="00460015">
            <w:pPr>
              <w:jc w:val="right"/>
              <w:rPr>
                <w:rFonts w:ascii="Arial" w:eastAsia="Times New Roman" w:hAnsi="Arial" w:cs="Arial"/>
                <w:color w:val="000000"/>
                <w:sz w:val="16"/>
                <w:szCs w:val="16"/>
              </w:rPr>
            </w:pPr>
            <w:r w:rsidRPr="005B77DD">
              <w:rPr>
                <w:rFonts w:ascii="Arial" w:eastAsia="Times New Roman" w:hAnsi="Arial" w:cs="Arial"/>
                <w:color w:val="000000"/>
                <w:sz w:val="16"/>
                <w:szCs w:val="16"/>
              </w:rPr>
              <w:t>$10,380,677.17</w:t>
            </w:r>
          </w:p>
        </w:tc>
        <w:tc>
          <w:tcPr>
            <w:tcW w:w="280" w:type="dxa"/>
            <w:tcBorders>
              <w:top w:val="nil"/>
              <w:left w:val="nil"/>
              <w:bottom w:val="nil"/>
              <w:right w:val="nil"/>
            </w:tcBorders>
            <w:shd w:val="clear" w:color="auto" w:fill="auto"/>
            <w:noWrap/>
            <w:vAlign w:val="center"/>
            <w:hideMark/>
          </w:tcPr>
          <w:p w14:paraId="67C6F20A" w14:textId="77777777" w:rsidR="00B90520" w:rsidRPr="005B77DD" w:rsidRDefault="00B90520" w:rsidP="00460015">
            <w:pPr>
              <w:jc w:val="right"/>
              <w:rPr>
                <w:rFonts w:ascii="Arial" w:eastAsia="Times New Roman" w:hAnsi="Arial" w:cs="Arial"/>
                <w:color w:val="000000"/>
                <w:sz w:val="16"/>
                <w:szCs w:val="16"/>
              </w:rPr>
            </w:pPr>
          </w:p>
        </w:tc>
        <w:tc>
          <w:tcPr>
            <w:tcW w:w="177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05441" w14:textId="77777777" w:rsidR="00B90520" w:rsidRPr="005B77DD" w:rsidRDefault="00B90520" w:rsidP="00460015">
            <w:pPr>
              <w:rPr>
                <w:rFonts w:ascii="Arial" w:eastAsia="Times New Roman" w:hAnsi="Arial" w:cs="Arial"/>
                <w:b/>
                <w:bCs/>
                <w:sz w:val="16"/>
                <w:szCs w:val="16"/>
              </w:rPr>
            </w:pPr>
            <w:r w:rsidRPr="005B77DD">
              <w:rPr>
                <w:rFonts w:ascii="Arial" w:eastAsia="Times New Roman" w:hAnsi="Arial" w:cs="Arial"/>
                <w:b/>
                <w:bCs/>
                <w:sz w:val="16"/>
                <w:szCs w:val="16"/>
              </w:rPr>
              <w:t>Fiscal Year 22-23</w:t>
            </w:r>
          </w:p>
        </w:tc>
        <w:tc>
          <w:tcPr>
            <w:tcW w:w="1205" w:type="dxa"/>
            <w:tcBorders>
              <w:top w:val="nil"/>
              <w:left w:val="nil"/>
              <w:bottom w:val="single" w:sz="4" w:space="0" w:color="auto"/>
              <w:right w:val="single" w:sz="4" w:space="0" w:color="auto"/>
            </w:tcBorders>
            <w:shd w:val="clear" w:color="auto" w:fill="auto"/>
            <w:noWrap/>
            <w:vAlign w:val="center"/>
            <w:hideMark/>
          </w:tcPr>
          <w:p w14:paraId="7CED2DA8" w14:textId="77777777" w:rsidR="00B90520" w:rsidRPr="005B77DD" w:rsidRDefault="00B90520" w:rsidP="00460015">
            <w:pPr>
              <w:jc w:val="right"/>
              <w:rPr>
                <w:rFonts w:ascii="Times New Roman" w:eastAsia="Times New Roman" w:hAnsi="Times New Roman" w:cs="Times New Roman"/>
                <w:b/>
                <w:bCs/>
                <w:color w:val="000000"/>
                <w:sz w:val="20"/>
                <w:szCs w:val="20"/>
              </w:rPr>
            </w:pPr>
            <w:r w:rsidRPr="005B77DD">
              <w:rPr>
                <w:rFonts w:ascii="Times New Roman" w:eastAsia="Times New Roman" w:hAnsi="Times New Roman" w:cs="Times New Roman"/>
                <w:b/>
                <w:bCs/>
                <w:color w:val="000000"/>
                <w:sz w:val="20"/>
                <w:szCs w:val="20"/>
              </w:rPr>
              <w:t>4,469,894.54</w:t>
            </w:r>
          </w:p>
        </w:tc>
      </w:tr>
      <w:tr w:rsidR="00B90520" w:rsidRPr="005B77DD" w14:paraId="1B23A138" w14:textId="77777777" w:rsidTr="00460015">
        <w:trPr>
          <w:trHeight w:val="274"/>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65A64275" w14:textId="77777777" w:rsidR="00B90520" w:rsidRPr="005B77DD" w:rsidRDefault="00B90520" w:rsidP="00460015">
            <w:pPr>
              <w:rPr>
                <w:rFonts w:ascii="Arial" w:eastAsia="Times New Roman" w:hAnsi="Arial" w:cs="Arial"/>
                <w:color w:val="000000"/>
                <w:sz w:val="16"/>
                <w:szCs w:val="16"/>
              </w:rPr>
            </w:pPr>
            <w:r w:rsidRPr="005B77DD">
              <w:rPr>
                <w:rFonts w:ascii="Arial" w:eastAsia="Times New Roman" w:hAnsi="Arial" w:cs="Arial"/>
                <w:color w:val="000000"/>
                <w:sz w:val="16"/>
                <w:szCs w:val="16"/>
              </w:rPr>
              <w:t>FY 87-88</w:t>
            </w:r>
          </w:p>
        </w:tc>
        <w:tc>
          <w:tcPr>
            <w:tcW w:w="1559" w:type="dxa"/>
            <w:tcBorders>
              <w:top w:val="nil"/>
              <w:left w:val="nil"/>
              <w:bottom w:val="single" w:sz="4" w:space="0" w:color="auto"/>
              <w:right w:val="single" w:sz="4" w:space="0" w:color="auto"/>
            </w:tcBorders>
            <w:shd w:val="clear" w:color="auto" w:fill="auto"/>
            <w:noWrap/>
            <w:vAlign w:val="center"/>
            <w:hideMark/>
          </w:tcPr>
          <w:p w14:paraId="36506602" w14:textId="77777777" w:rsidR="00B90520" w:rsidRPr="005B77DD" w:rsidRDefault="00B90520" w:rsidP="00460015">
            <w:pPr>
              <w:jc w:val="right"/>
              <w:rPr>
                <w:rFonts w:ascii="Arial" w:eastAsia="Times New Roman" w:hAnsi="Arial" w:cs="Arial"/>
                <w:color w:val="000000"/>
                <w:sz w:val="16"/>
                <w:szCs w:val="16"/>
              </w:rPr>
            </w:pPr>
            <w:r w:rsidRPr="005B77DD">
              <w:rPr>
                <w:rFonts w:ascii="Arial" w:eastAsia="Times New Roman" w:hAnsi="Arial" w:cs="Arial"/>
                <w:color w:val="000000"/>
                <w:sz w:val="16"/>
                <w:szCs w:val="16"/>
              </w:rPr>
              <w:t>$15,681,798.14</w:t>
            </w:r>
          </w:p>
        </w:tc>
        <w:tc>
          <w:tcPr>
            <w:tcW w:w="280" w:type="dxa"/>
            <w:tcBorders>
              <w:top w:val="nil"/>
              <w:left w:val="nil"/>
              <w:bottom w:val="nil"/>
              <w:right w:val="nil"/>
            </w:tcBorders>
            <w:shd w:val="clear" w:color="auto" w:fill="auto"/>
            <w:noWrap/>
            <w:vAlign w:val="center"/>
            <w:hideMark/>
          </w:tcPr>
          <w:p w14:paraId="45663CF5" w14:textId="77777777" w:rsidR="00B90520" w:rsidRPr="005B77DD" w:rsidRDefault="00B90520" w:rsidP="00460015">
            <w:pPr>
              <w:jc w:val="right"/>
              <w:rPr>
                <w:rFonts w:ascii="Arial" w:eastAsia="Times New Roman" w:hAnsi="Arial" w:cs="Arial"/>
                <w:color w:val="000000"/>
                <w:sz w:val="16"/>
                <w:szCs w:val="16"/>
              </w:rPr>
            </w:pPr>
          </w:p>
        </w:tc>
        <w:tc>
          <w:tcPr>
            <w:tcW w:w="1775" w:type="dxa"/>
            <w:gridSpan w:val="2"/>
            <w:tcBorders>
              <w:top w:val="nil"/>
              <w:left w:val="single" w:sz="4" w:space="0" w:color="auto"/>
              <w:bottom w:val="single" w:sz="4" w:space="0" w:color="auto"/>
              <w:right w:val="single" w:sz="4" w:space="0" w:color="auto"/>
            </w:tcBorders>
            <w:shd w:val="clear" w:color="auto" w:fill="auto"/>
            <w:noWrap/>
            <w:vAlign w:val="center"/>
            <w:hideMark/>
          </w:tcPr>
          <w:p w14:paraId="7E3D61DC" w14:textId="77777777" w:rsidR="00B90520" w:rsidRPr="005B77DD" w:rsidRDefault="00B90520" w:rsidP="00460015">
            <w:pPr>
              <w:rPr>
                <w:rFonts w:ascii="Arial" w:eastAsia="Times New Roman" w:hAnsi="Arial" w:cs="Arial"/>
                <w:sz w:val="16"/>
                <w:szCs w:val="16"/>
              </w:rPr>
            </w:pPr>
            <w:r w:rsidRPr="005B77DD">
              <w:rPr>
                <w:rFonts w:ascii="Arial" w:eastAsia="Times New Roman" w:hAnsi="Arial" w:cs="Arial"/>
                <w:sz w:val="16"/>
                <w:szCs w:val="16"/>
              </w:rPr>
              <w:t xml:space="preserve">5 </w:t>
            </w:r>
            <w:proofErr w:type="spellStart"/>
            <w:r w:rsidRPr="005B77DD">
              <w:rPr>
                <w:rFonts w:ascii="Arial" w:eastAsia="Times New Roman" w:hAnsi="Arial" w:cs="Arial"/>
                <w:sz w:val="16"/>
                <w:szCs w:val="16"/>
              </w:rPr>
              <w:t>Yr</w:t>
            </w:r>
            <w:proofErr w:type="spellEnd"/>
            <w:r w:rsidRPr="005B77DD">
              <w:rPr>
                <w:rFonts w:ascii="Arial" w:eastAsia="Times New Roman" w:hAnsi="Arial" w:cs="Arial"/>
                <w:sz w:val="16"/>
                <w:szCs w:val="16"/>
              </w:rPr>
              <w:t xml:space="preserve"> Average</w:t>
            </w:r>
          </w:p>
        </w:tc>
        <w:tc>
          <w:tcPr>
            <w:tcW w:w="1205" w:type="dxa"/>
            <w:tcBorders>
              <w:top w:val="nil"/>
              <w:left w:val="nil"/>
              <w:bottom w:val="single" w:sz="4" w:space="0" w:color="auto"/>
              <w:right w:val="single" w:sz="4" w:space="0" w:color="auto"/>
            </w:tcBorders>
            <w:shd w:val="clear" w:color="auto" w:fill="auto"/>
            <w:noWrap/>
            <w:vAlign w:val="center"/>
            <w:hideMark/>
          </w:tcPr>
          <w:p w14:paraId="13E0337B" w14:textId="77777777" w:rsidR="00B90520" w:rsidRPr="005B77DD" w:rsidRDefault="00B90520" w:rsidP="00460015">
            <w:pPr>
              <w:jc w:val="right"/>
              <w:rPr>
                <w:rFonts w:ascii="Times New Roman" w:eastAsia="Times New Roman" w:hAnsi="Times New Roman" w:cs="Times New Roman"/>
                <w:color w:val="000000"/>
                <w:sz w:val="20"/>
                <w:szCs w:val="20"/>
              </w:rPr>
            </w:pPr>
            <w:r w:rsidRPr="005B77DD">
              <w:rPr>
                <w:rFonts w:ascii="Times New Roman" w:eastAsia="Times New Roman" w:hAnsi="Times New Roman" w:cs="Times New Roman"/>
                <w:color w:val="000000"/>
                <w:sz w:val="20"/>
                <w:szCs w:val="20"/>
              </w:rPr>
              <w:t>3,479,804.15</w:t>
            </w:r>
          </w:p>
        </w:tc>
      </w:tr>
      <w:tr w:rsidR="00B90520" w:rsidRPr="005B77DD" w14:paraId="63754CE0" w14:textId="77777777" w:rsidTr="00460015">
        <w:trPr>
          <w:trHeight w:val="274"/>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40ECA946" w14:textId="77777777" w:rsidR="00B90520" w:rsidRPr="005B77DD" w:rsidRDefault="00B90520" w:rsidP="00460015">
            <w:pPr>
              <w:rPr>
                <w:rFonts w:ascii="Arial" w:eastAsia="Times New Roman" w:hAnsi="Arial" w:cs="Arial"/>
                <w:color w:val="000000"/>
                <w:sz w:val="16"/>
                <w:szCs w:val="16"/>
              </w:rPr>
            </w:pPr>
            <w:r w:rsidRPr="005B77DD">
              <w:rPr>
                <w:rFonts w:ascii="Arial" w:eastAsia="Times New Roman" w:hAnsi="Arial" w:cs="Arial"/>
                <w:color w:val="000000"/>
                <w:sz w:val="16"/>
                <w:szCs w:val="16"/>
              </w:rPr>
              <w:t>FY 88-89</w:t>
            </w:r>
          </w:p>
        </w:tc>
        <w:tc>
          <w:tcPr>
            <w:tcW w:w="1559" w:type="dxa"/>
            <w:tcBorders>
              <w:top w:val="nil"/>
              <w:left w:val="nil"/>
              <w:bottom w:val="single" w:sz="4" w:space="0" w:color="auto"/>
              <w:right w:val="single" w:sz="4" w:space="0" w:color="auto"/>
            </w:tcBorders>
            <w:shd w:val="clear" w:color="auto" w:fill="auto"/>
            <w:noWrap/>
            <w:vAlign w:val="center"/>
            <w:hideMark/>
          </w:tcPr>
          <w:p w14:paraId="5226CAA7" w14:textId="77777777" w:rsidR="00B90520" w:rsidRPr="005B77DD" w:rsidRDefault="00B90520" w:rsidP="00460015">
            <w:pPr>
              <w:jc w:val="right"/>
              <w:rPr>
                <w:rFonts w:ascii="Arial" w:eastAsia="Times New Roman" w:hAnsi="Arial" w:cs="Arial"/>
                <w:color w:val="000000"/>
                <w:sz w:val="16"/>
                <w:szCs w:val="16"/>
              </w:rPr>
            </w:pPr>
            <w:r w:rsidRPr="005B77DD">
              <w:rPr>
                <w:rFonts w:ascii="Arial" w:eastAsia="Times New Roman" w:hAnsi="Arial" w:cs="Arial"/>
                <w:color w:val="000000"/>
                <w:sz w:val="16"/>
                <w:szCs w:val="16"/>
              </w:rPr>
              <w:t>$18,864,834.75</w:t>
            </w:r>
          </w:p>
        </w:tc>
        <w:tc>
          <w:tcPr>
            <w:tcW w:w="280" w:type="dxa"/>
            <w:tcBorders>
              <w:top w:val="nil"/>
              <w:left w:val="nil"/>
              <w:bottom w:val="nil"/>
              <w:right w:val="nil"/>
            </w:tcBorders>
            <w:shd w:val="clear" w:color="auto" w:fill="auto"/>
            <w:noWrap/>
            <w:vAlign w:val="center"/>
            <w:hideMark/>
          </w:tcPr>
          <w:p w14:paraId="35395BE9" w14:textId="77777777" w:rsidR="00B90520" w:rsidRPr="005B77DD" w:rsidRDefault="00B90520" w:rsidP="00460015">
            <w:pPr>
              <w:jc w:val="right"/>
              <w:rPr>
                <w:rFonts w:ascii="Arial" w:eastAsia="Times New Roman" w:hAnsi="Arial" w:cs="Arial"/>
                <w:color w:val="000000"/>
                <w:sz w:val="16"/>
                <w:szCs w:val="16"/>
              </w:rPr>
            </w:pPr>
          </w:p>
        </w:tc>
        <w:tc>
          <w:tcPr>
            <w:tcW w:w="1775" w:type="dxa"/>
            <w:gridSpan w:val="2"/>
            <w:tcBorders>
              <w:top w:val="nil"/>
              <w:left w:val="single" w:sz="4" w:space="0" w:color="auto"/>
              <w:bottom w:val="single" w:sz="4" w:space="0" w:color="auto"/>
              <w:right w:val="single" w:sz="4" w:space="0" w:color="auto"/>
            </w:tcBorders>
            <w:shd w:val="clear" w:color="auto" w:fill="auto"/>
            <w:noWrap/>
            <w:vAlign w:val="center"/>
            <w:hideMark/>
          </w:tcPr>
          <w:p w14:paraId="7487BB0E" w14:textId="77777777" w:rsidR="00B90520" w:rsidRPr="005B77DD" w:rsidRDefault="00B90520" w:rsidP="00460015">
            <w:pPr>
              <w:rPr>
                <w:rFonts w:ascii="Arial" w:eastAsia="Times New Roman" w:hAnsi="Arial" w:cs="Arial"/>
                <w:sz w:val="16"/>
                <w:szCs w:val="16"/>
              </w:rPr>
            </w:pPr>
            <w:r w:rsidRPr="005B77DD">
              <w:rPr>
                <w:rFonts w:ascii="Arial" w:eastAsia="Times New Roman" w:hAnsi="Arial" w:cs="Arial"/>
                <w:sz w:val="16"/>
                <w:szCs w:val="16"/>
              </w:rPr>
              <w:t xml:space="preserve">10 </w:t>
            </w:r>
            <w:proofErr w:type="spellStart"/>
            <w:r w:rsidRPr="005B77DD">
              <w:rPr>
                <w:rFonts w:ascii="Arial" w:eastAsia="Times New Roman" w:hAnsi="Arial" w:cs="Arial"/>
                <w:sz w:val="16"/>
                <w:szCs w:val="16"/>
              </w:rPr>
              <w:t>Yr</w:t>
            </w:r>
            <w:proofErr w:type="spellEnd"/>
            <w:r w:rsidRPr="005B77DD">
              <w:rPr>
                <w:rFonts w:ascii="Arial" w:eastAsia="Times New Roman" w:hAnsi="Arial" w:cs="Arial"/>
                <w:sz w:val="16"/>
                <w:szCs w:val="16"/>
              </w:rPr>
              <w:t xml:space="preserve"> Average</w:t>
            </w:r>
          </w:p>
        </w:tc>
        <w:tc>
          <w:tcPr>
            <w:tcW w:w="1205" w:type="dxa"/>
            <w:tcBorders>
              <w:top w:val="nil"/>
              <w:left w:val="nil"/>
              <w:bottom w:val="single" w:sz="4" w:space="0" w:color="auto"/>
              <w:right w:val="single" w:sz="4" w:space="0" w:color="auto"/>
            </w:tcBorders>
            <w:shd w:val="clear" w:color="auto" w:fill="auto"/>
            <w:noWrap/>
            <w:vAlign w:val="center"/>
            <w:hideMark/>
          </w:tcPr>
          <w:p w14:paraId="161FF7E2" w14:textId="77777777" w:rsidR="00B90520" w:rsidRPr="005B77DD" w:rsidRDefault="00B90520" w:rsidP="00460015">
            <w:pPr>
              <w:jc w:val="right"/>
              <w:rPr>
                <w:rFonts w:ascii="Times New Roman" w:eastAsia="Times New Roman" w:hAnsi="Times New Roman" w:cs="Times New Roman"/>
                <w:color w:val="000000"/>
                <w:sz w:val="20"/>
                <w:szCs w:val="20"/>
              </w:rPr>
            </w:pPr>
            <w:r w:rsidRPr="005B77DD">
              <w:rPr>
                <w:rFonts w:ascii="Times New Roman" w:eastAsia="Times New Roman" w:hAnsi="Times New Roman" w:cs="Times New Roman"/>
                <w:color w:val="000000"/>
                <w:sz w:val="20"/>
                <w:szCs w:val="20"/>
              </w:rPr>
              <w:t>8,614,198.70</w:t>
            </w:r>
          </w:p>
        </w:tc>
      </w:tr>
      <w:tr w:rsidR="00B90520" w:rsidRPr="005B77DD" w14:paraId="55B6C351" w14:textId="77777777" w:rsidTr="00460015">
        <w:trPr>
          <w:trHeight w:val="274"/>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26131AEC" w14:textId="77777777" w:rsidR="00B90520" w:rsidRPr="005B77DD" w:rsidRDefault="00B90520" w:rsidP="00460015">
            <w:pPr>
              <w:rPr>
                <w:rFonts w:ascii="Arial" w:eastAsia="Times New Roman" w:hAnsi="Arial" w:cs="Arial"/>
                <w:color w:val="000000"/>
                <w:sz w:val="16"/>
                <w:szCs w:val="16"/>
              </w:rPr>
            </w:pPr>
            <w:r w:rsidRPr="005B77DD">
              <w:rPr>
                <w:rFonts w:ascii="Arial" w:eastAsia="Times New Roman" w:hAnsi="Arial" w:cs="Arial"/>
                <w:color w:val="000000"/>
                <w:sz w:val="16"/>
                <w:szCs w:val="16"/>
              </w:rPr>
              <w:t>FY 89-90</w:t>
            </w:r>
          </w:p>
        </w:tc>
        <w:tc>
          <w:tcPr>
            <w:tcW w:w="1559" w:type="dxa"/>
            <w:tcBorders>
              <w:top w:val="nil"/>
              <w:left w:val="nil"/>
              <w:bottom w:val="single" w:sz="4" w:space="0" w:color="auto"/>
              <w:right w:val="single" w:sz="4" w:space="0" w:color="auto"/>
            </w:tcBorders>
            <w:shd w:val="clear" w:color="auto" w:fill="auto"/>
            <w:noWrap/>
            <w:vAlign w:val="center"/>
            <w:hideMark/>
          </w:tcPr>
          <w:p w14:paraId="45FC98A4" w14:textId="77777777" w:rsidR="00B90520" w:rsidRPr="005B77DD" w:rsidRDefault="00B90520" w:rsidP="00460015">
            <w:pPr>
              <w:jc w:val="right"/>
              <w:rPr>
                <w:rFonts w:ascii="Arial" w:eastAsia="Times New Roman" w:hAnsi="Arial" w:cs="Arial"/>
                <w:color w:val="000000"/>
                <w:sz w:val="16"/>
                <w:szCs w:val="16"/>
              </w:rPr>
            </w:pPr>
            <w:r w:rsidRPr="005B77DD">
              <w:rPr>
                <w:rFonts w:ascii="Arial" w:eastAsia="Times New Roman" w:hAnsi="Arial" w:cs="Arial"/>
                <w:color w:val="000000"/>
                <w:sz w:val="16"/>
                <w:szCs w:val="16"/>
              </w:rPr>
              <w:t>$13,245,515.19</w:t>
            </w:r>
          </w:p>
        </w:tc>
        <w:tc>
          <w:tcPr>
            <w:tcW w:w="280" w:type="dxa"/>
            <w:tcBorders>
              <w:top w:val="nil"/>
              <w:left w:val="nil"/>
              <w:bottom w:val="nil"/>
              <w:right w:val="nil"/>
            </w:tcBorders>
            <w:shd w:val="clear" w:color="auto" w:fill="auto"/>
            <w:noWrap/>
            <w:vAlign w:val="center"/>
            <w:hideMark/>
          </w:tcPr>
          <w:p w14:paraId="06789B4E" w14:textId="77777777" w:rsidR="00B90520" w:rsidRPr="005B77DD" w:rsidRDefault="00B90520" w:rsidP="00460015">
            <w:pPr>
              <w:jc w:val="right"/>
              <w:rPr>
                <w:rFonts w:ascii="Arial" w:eastAsia="Times New Roman" w:hAnsi="Arial" w:cs="Arial"/>
                <w:color w:val="000000"/>
                <w:sz w:val="16"/>
                <w:szCs w:val="16"/>
              </w:rPr>
            </w:pPr>
          </w:p>
        </w:tc>
        <w:tc>
          <w:tcPr>
            <w:tcW w:w="1775" w:type="dxa"/>
            <w:gridSpan w:val="2"/>
            <w:tcBorders>
              <w:top w:val="nil"/>
              <w:left w:val="single" w:sz="4" w:space="0" w:color="auto"/>
              <w:bottom w:val="single" w:sz="4" w:space="0" w:color="auto"/>
              <w:right w:val="single" w:sz="4" w:space="0" w:color="auto"/>
            </w:tcBorders>
            <w:shd w:val="clear" w:color="auto" w:fill="auto"/>
            <w:noWrap/>
            <w:vAlign w:val="center"/>
            <w:hideMark/>
          </w:tcPr>
          <w:p w14:paraId="5BEABD00" w14:textId="77777777" w:rsidR="00B90520" w:rsidRPr="005B77DD" w:rsidRDefault="00B90520" w:rsidP="00460015">
            <w:pPr>
              <w:rPr>
                <w:rFonts w:ascii="Arial" w:eastAsia="Times New Roman" w:hAnsi="Arial" w:cs="Arial"/>
                <w:sz w:val="16"/>
                <w:szCs w:val="16"/>
              </w:rPr>
            </w:pPr>
            <w:r w:rsidRPr="005B77DD">
              <w:rPr>
                <w:rFonts w:ascii="Arial" w:eastAsia="Times New Roman" w:hAnsi="Arial" w:cs="Arial"/>
                <w:sz w:val="16"/>
                <w:szCs w:val="16"/>
              </w:rPr>
              <w:t xml:space="preserve">15 </w:t>
            </w:r>
            <w:proofErr w:type="spellStart"/>
            <w:r w:rsidRPr="005B77DD">
              <w:rPr>
                <w:rFonts w:ascii="Arial" w:eastAsia="Times New Roman" w:hAnsi="Arial" w:cs="Arial"/>
                <w:sz w:val="16"/>
                <w:szCs w:val="16"/>
              </w:rPr>
              <w:t>Yr</w:t>
            </w:r>
            <w:proofErr w:type="spellEnd"/>
            <w:r w:rsidRPr="005B77DD">
              <w:rPr>
                <w:rFonts w:ascii="Arial" w:eastAsia="Times New Roman" w:hAnsi="Arial" w:cs="Arial"/>
                <w:sz w:val="16"/>
                <w:szCs w:val="16"/>
              </w:rPr>
              <w:t xml:space="preserve"> Average</w:t>
            </w:r>
          </w:p>
        </w:tc>
        <w:tc>
          <w:tcPr>
            <w:tcW w:w="1205" w:type="dxa"/>
            <w:tcBorders>
              <w:top w:val="nil"/>
              <w:left w:val="nil"/>
              <w:bottom w:val="single" w:sz="4" w:space="0" w:color="auto"/>
              <w:right w:val="single" w:sz="4" w:space="0" w:color="auto"/>
            </w:tcBorders>
            <w:shd w:val="clear" w:color="auto" w:fill="auto"/>
            <w:noWrap/>
            <w:vAlign w:val="center"/>
            <w:hideMark/>
          </w:tcPr>
          <w:p w14:paraId="576195A5" w14:textId="77777777" w:rsidR="00B90520" w:rsidRPr="005B77DD" w:rsidRDefault="00B90520" w:rsidP="00460015">
            <w:pPr>
              <w:jc w:val="right"/>
              <w:rPr>
                <w:rFonts w:ascii="Times New Roman" w:eastAsia="Times New Roman" w:hAnsi="Times New Roman" w:cs="Times New Roman"/>
                <w:color w:val="000000"/>
                <w:sz w:val="20"/>
                <w:szCs w:val="20"/>
              </w:rPr>
            </w:pPr>
            <w:r w:rsidRPr="005B77DD">
              <w:rPr>
                <w:rFonts w:ascii="Times New Roman" w:eastAsia="Times New Roman" w:hAnsi="Times New Roman" w:cs="Times New Roman"/>
                <w:color w:val="000000"/>
                <w:sz w:val="20"/>
                <w:szCs w:val="20"/>
              </w:rPr>
              <w:t>14,377,574.11</w:t>
            </w:r>
          </w:p>
        </w:tc>
      </w:tr>
      <w:tr w:rsidR="00B90520" w:rsidRPr="005B77DD" w14:paraId="0F2ECDBF" w14:textId="77777777" w:rsidTr="00460015">
        <w:trPr>
          <w:trHeight w:val="274"/>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5F6FD53D" w14:textId="77777777" w:rsidR="00B90520" w:rsidRPr="005B77DD" w:rsidRDefault="00B90520" w:rsidP="00460015">
            <w:pPr>
              <w:rPr>
                <w:rFonts w:ascii="Arial" w:eastAsia="Times New Roman" w:hAnsi="Arial" w:cs="Arial"/>
                <w:color w:val="000000"/>
                <w:sz w:val="16"/>
                <w:szCs w:val="16"/>
              </w:rPr>
            </w:pPr>
            <w:r w:rsidRPr="005B77DD">
              <w:rPr>
                <w:rFonts w:ascii="Arial" w:eastAsia="Times New Roman" w:hAnsi="Arial" w:cs="Arial"/>
                <w:color w:val="000000"/>
                <w:sz w:val="16"/>
                <w:szCs w:val="16"/>
              </w:rPr>
              <w:t>FY 90-91</w:t>
            </w:r>
          </w:p>
        </w:tc>
        <w:tc>
          <w:tcPr>
            <w:tcW w:w="1559" w:type="dxa"/>
            <w:tcBorders>
              <w:top w:val="nil"/>
              <w:left w:val="nil"/>
              <w:bottom w:val="single" w:sz="4" w:space="0" w:color="auto"/>
              <w:right w:val="single" w:sz="4" w:space="0" w:color="auto"/>
            </w:tcBorders>
            <w:shd w:val="clear" w:color="auto" w:fill="auto"/>
            <w:noWrap/>
            <w:vAlign w:val="center"/>
            <w:hideMark/>
          </w:tcPr>
          <w:p w14:paraId="605464B1" w14:textId="77777777" w:rsidR="00B90520" w:rsidRPr="005B77DD" w:rsidRDefault="00B90520" w:rsidP="00460015">
            <w:pPr>
              <w:jc w:val="right"/>
              <w:rPr>
                <w:rFonts w:ascii="Arial" w:eastAsia="Times New Roman" w:hAnsi="Arial" w:cs="Arial"/>
                <w:color w:val="000000"/>
                <w:sz w:val="16"/>
                <w:szCs w:val="16"/>
              </w:rPr>
            </w:pPr>
            <w:r w:rsidRPr="005B77DD">
              <w:rPr>
                <w:rFonts w:ascii="Arial" w:eastAsia="Times New Roman" w:hAnsi="Arial" w:cs="Arial"/>
                <w:color w:val="000000"/>
                <w:sz w:val="16"/>
                <w:szCs w:val="16"/>
              </w:rPr>
              <w:t>$13,593,758.31</w:t>
            </w:r>
          </w:p>
        </w:tc>
        <w:tc>
          <w:tcPr>
            <w:tcW w:w="280" w:type="dxa"/>
            <w:tcBorders>
              <w:top w:val="nil"/>
              <w:left w:val="nil"/>
              <w:bottom w:val="nil"/>
              <w:right w:val="nil"/>
            </w:tcBorders>
            <w:shd w:val="clear" w:color="auto" w:fill="auto"/>
            <w:noWrap/>
            <w:vAlign w:val="center"/>
            <w:hideMark/>
          </w:tcPr>
          <w:p w14:paraId="20A7CAD8" w14:textId="77777777" w:rsidR="00B90520" w:rsidRPr="005B77DD" w:rsidRDefault="00B90520" w:rsidP="00460015">
            <w:pPr>
              <w:jc w:val="right"/>
              <w:rPr>
                <w:rFonts w:ascii="Arial" w:eastAsia="Times New Roman" w:hAnsi="Arial" w:cs="Arial"/>
                <w:color w:val="000000"/>
                <w:sz w:val="16"/>
                <w:szCs w:val="16"/>
              </w:rPr>
            </w:pPr>
          </w:p>
        </w:tc>
        <w:tc>
          <w:tcPr>
            <w:tcW w:w="1775" w:type="dxa"/>
            <w:gridSpan w:val="2"/>
            <w:tcBorders>
              <w:top w:val="nil"/>
              <w:left w:val="single" w:sz="4" w:space="0" w:color="auto"/>
              <w:bottom w:val="single" w:sz="4" w:space="0" w:color="auto"/>
              <w:right w:val="single" w:sz="4" w:space="0" w:color="auto"/>
            </w:tcBorders>
            <w:shd w:val="clear" w:color="auto" w:fill="auto"/>
            <w:noWrap/>
            <w:vAlign w:val="center"/>
            <w:hideMark/>
          </w:tcPr>
          <w:p w14:paraId="601D9390" w14:textId="77777777" w:rsidR="00B90520" w:rsidRPr="005B77DD" w:rsidRDefault="00B90520" w:rsidP="00460015">
            <w:pPr>
              <w:rPr>
                <w:rFonts w:ascii="Arial" w:eastAsia="Times New Roman" w:hAnsi="Arial" w:cs="Arial"/>
                <w:sz w:val="16"/>
                <w:szCs w:val="16"/>
              </w:rPr>
            </w:pPr>
            <w:r w:rsidRPr="005B77DD">
              <w:rPr>
                <w:rFonts w:ascii="Arial" w:eastAsia="Times New Roman" w:hAnsi="Arial" w:cs="Arial"/>
                <w:sz w:val="16"/>
                <w:szCs w:val="16"/>
              </w:rPr>
              <w:t xml:space="preserve">20 </w:t>
            </w:r>
            <w:proofErr w:type="spellStart"/>
            <w:r w:rsidRPr="005B77DD">
              <w:rPr>
                <w:rFonts w:ascii="Arial" w:eastAsia="Times New Roman" w:hAnsi="Arial" w:cs="Arial"/>
                <w:sz w:val="16"/>
                <w:szCs w:val="16"/>
              </w:rPr>
              <w:t>Yr</w:t>
            </w:r>
            <w:proofErr w:type="spellEnd"/>
            <w:r w:rsidRPr="005B77DD">
              <w:rPr>
                <w:rFonts w:ascii="Arial" w:eastAsia="Times New Roman" w:hAnsi="Arial" w:cs="Arial"/>
                <w:sz w:val="16"/>
                <w:szCs w:val="16"/>
              </w:rPr>
              <w:t xml:space="preserve"> Average</w:t>
            </w:r>
          </w:p>
        </w:tc>
        <w:tc>
          <w:tcPr>
            <w:tcW w:w="1205" w:type="dxa"/>
            <w:tcBorders>
              <w:top w:val="nil"/>
              <w:left w:val="nil"/>
              <w:bottom w:val="single" w:sz="4" w:space="0" w:color="auto"/>
              <w:right w:val="single" w:sz="4" w:space="0" w:color="auto"/>
            </w:tcBorders>
            <w:shd w:val="clear" w:color="auto" w:fill="auto"/>
            <w:noWrap/>
            <w:vAlign w:val="center"/>
            <w:hideMark/>
          </w:tcPr>
          <w:p w14:paraId="69B2E602" w14:textId="77777777" w:rsidR="00B90520" w:rsidRPr="005B77DD" w:rsidRDefault="00B90520" w:rsidP="00460015">
            <w:pPr>
              <w:jc w:val="right"/>
              <w:rPr>
                <w:rFonts w:ascii="Times New Roman" w:eastAsia="Times New Roman" w:hAnsi="Times New Roman" w:cs="Times New Roman"/>
                <w:color w:val="000000"/>
                <w:sz w:val="20"/>
                <w:szCs w:val="20"/>
              </w:rPr>
            </w:pPr>
            <w:r w:rsidRPr="005B77DD">
              <w:rPr>
                <w:rFonts w:ascii="Times New Roman" w:eastAsia="Times New Roman" w:hAnsi="Times New Roman" w:cs="Times New Roman"/>
                <w:color w:val="000000"/>
                <w:sz w:val="20"/>
                <w:szCs w:val="20"/>
              </w:rPr>
              <w:t>17,947,830.08</w:t>
            </w:r>
          </w:p>
        </w:tc>
      </w:tr>
      <w:tr w:rsidR="00B90520" w:rsidRPr="005B77DD" w14:paraId="00A9AE75" w14:textId="77777777" w:rsidTr="00460015">
        <w:trPr>
          <w:trHeight w:val="274"/>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1197C4E6" w14:textId="77777777" w:rsidR="00B90520" w:rsidRPr="005B77DD" w:rsidRDefault="00B90520" w:rsidP="00460015">
            <w:pPr>
              <w:rPr>
                <w:rFonts w:ascii="Arial" w:eastAsia="Times New Roman" w:hAnsi="Arial" w:cs="Arial"/>
                <w:color w:val="000000"/>
                <w:sz w:val="16"/>
                <w:szCs w:val="16"/>
              </w:rPr>
            </w:pPr>
            <w:r w:rsidRPr="005B77DD">
              <w:rPr>
                <w:rFonts w:ascii="Arial" w:eastAsia="Times New Roman" w:hAnsi="Arial" w:cs="Arial"/>
                <w:color w:val="000000"/>
                <w:sz w:val="16"/>
                <w:szCs w:val="16"/>
              </w:rPr>
              <w:t>FY 91-92</w:t>
            </w:r>
          </w:p>
        </w:tc>
        <w:tc>
          <w:tcPr>
            <w:tcW w:w="1559" w:type="dxa"/>
            <w:tcBorders>
              <w:top w:val="nil"/>
              <w:left w:val="nil"/>
              <w:bottom w:val="single" w:sz="4" w:space="0" w:color="auto"/>
              <w:right w:val="single" w:sz="4" w:space="0" w:color="auto"/>
            </w:tcBorders>
            <w:shd w:val="clear" w:color="auto" w:fill="auto"/>
            <w:noWrap/>
            <w:vAlign w:val="center"/>
            <w:hideMark/>
          </w:tcPr>
          <w:p w14:paraId="06695AFD" w14:textId="77777777" w:rsidR="00B90520" w:rsidRPr="005B77DD" w:rsidRDefault="00B90520" w:rsidP="00460015">
            <w:pPr>
              <w:jc w:val="right"/>
              <w:rPr>
                <w:rFonts w:ascii="Arial" w:eastAsia="Times New Roman" w:hAnsi="Arial" w:cs="Arial"/>
                <w:color w:val="000000"/>
                <w:sz w:val="16"/>
                <w:szCs w:val="16"/>
              </w:rPr>
            </w:pPr>
            <w:r w:rsidRPr="005B77DD">
              <w:rPr>
                <w:rFonts w:ascii="Arial" w:eastAsia="Times New Roman" w:hAnsi="Arial" w:cs="Arial"/>
                <w:color w:val="000000"/>
                <w:sz w:val="16"/>
                <w:szCs w:val="16"/>
              </w:rPr>
              <w:t>$13,277,733.12</w:t>
            </w:r>
          </w:p>
        </w:tc>
        <w:tc>
          <w:tcPr>
            <w:tcW w:w="280" w:type="dxa"/>
            <w:tcBorders>
              <w:top w:val="nil"/>
              <w:left w:val="nil"/>
              <w:bottom w:val="nil"/>
              <w:right w:val="nil"/>
            </w:tcBorders>
            <w:shd w:val="clear" w:color="auto" w:fill="auto"/>
            <w:noWrap/>
            <w:vAlign w:val="center"/>
            <w:hideMark/>
          </w:tcPr>
          <w:p w14:paraId="12D44E91" w14:textId="77777777" w:rsidR="00B90520" w:rsidRPr="005B77DD" w:rsidRDefault="00B90520" w:rsidP="00460015">
            <w:pPr>
              <w:jc w:val="right"/>
              <w:rPr>
                <w:rFonts w:ascii="Arial" w:eastAsia="Times New Roman" w:hAnsi="Arial" w:cs="Arial"/>
                <w:color w:val="000000"/>
                <w:sz w:val="16"/>
                <w:szCs w:val="16"/>
              </w:rPr>
            </w:pPr>
          </w:p>
        </w:tc>
        <w:tc>
          <w:tcPr>
            <w:tcW w:w="1775" w:type="dxa"/>
            <w:gridSpan w:val="2"/>
            <w:tcBorders>
              <w:top w:val="nil"/>
              <w:left w:val="single" w:sz="4" w:space="0" w:color="auto"/>
              <w:bottom w:val="single" w:sz="4" w:space="0" w:color="auto"/>
              <w:right w:val="single" w:sz="4" w:space="0" w:color="auto"/>
            </w:tcBorders>
            <w:shd w:val="clear" w:color="auto" w:fill="auto"/>
            <w:noWrap/>
            <w:vAlign w:val="center"/>
            <w:hideMark/>
          </w:tcPr>
          <w:p w14:paraId="75D6BC0E" w14:textId="77777777" w:rsidR="00B90520" w:rsidRPr="005B77DD" w:rsidRDefault="00B90520" w:rsidP="00460015">
            <w:pPr>
              <w:rPr>
                <w:rFonts w:ascii="Arial" w:eastAsia="Times New Roman" w:hAnsi="Arial" w:cs="Arial"/>
                <w:sz w:val="16"/>
                <w:szCs w:val="16"/>
              </w:rPr>
            </w:pPr>
            <w:r w:rsidRPr="005B77DD">
              <w:rPr>
                <w:rFonts w:ascii="Arial" w:eastAsia="Times New Roman" w:hAnsi="Arial" w:cs="Arial"/>
                <w:sz w:val="16"/>
                <w:szCs w:val="16"/>
              </w:rPr>
              <w:t xml:space="preserve">25 </w:t>
            </w:r>
            <w:proofErr w:type="spellStart"/>
            <w:r w:rsidRPr="005B77DD">
              <w:rPr>
                <w:rFonts w:ascii="Arial" w:eastAsia="Times New Roman" w:hAnsi="Arial" w:cs="Arial"/>
                <w:sz w:val="16"/>
                <w:szCs w:val="16"/>
              </w:rPr>
              <w:t>Yr</w:t>
            </w:r>
            <w:proofErr w:type="spellEnd"/>
            <w:r w:rsidRPr="005B77DD">
              <w:rPr>
                <w:rFonts w:ascii="Arial" w:eastAsia="Times New Roman" w:hAnsi="Arial" w:cs="Arial"/>
                <w:sz w:val="16"/>
                <w:szCs w:val="16"/>
              </w:rPr>
              <w:t xml:space="preserve"> Average</w:t>
            </w:r>
          </w:p>
        </w:tc>
        <w:tc>
          <w:tcPr>
            <w:tcW w:w="1205" w:type="dxa"/>
            <w:tcBorders>
              <w:top w:val="nil"/>
              <w:left w:val="nil"/>
              <w:bottom w:val="single" w:sz="4" w:space="0" w:color="auto"/>
              <w:right w:val="single" w:sz="4" w:space="0" w:color="auto"/>
            </w:tcBorders>
            <w:shd w:val="clear" w:color="auto" w:fill="auto"/>
            <w:noWrap/>
            <w:vAlign w:val="center"/>
            <w:hideMark/>
          </w:tcPr>
          <w:p w14:paraId="49F96BCF" w14:textId="77777777" w:rsidR="00B90520" w:rsidRPr="005B77DD" w:rsidRDefault="00B90520" w:rsidP="00460015">
            <w:pPr>
              <w:jc w:val="right"/>
              <w:rPr>
                <w:rFonts w:ascii="Times New Roman" w:eastAsia="Times New Roman" w:hAnsi="Times New Roman" w:cs="Times New Roman"/>
                <w:color w:val="000000"/>
                <w:sz w:val="20"/>
                <w:szCs w:val="20"/>
              </w:rPr>
            </w:pPr>
            <w:r w:rsidRPr="005B77DD">
              <w:rPr>
                <w:rFonts w:ascii="Times New Roman" w:eastAsia="Times New Roman" w:hAnsi="Times New Roman" w:cs="Times New Roman"/>
                <w:color w:val="000000"/>
                <w:sz w:val="20"/>
                <w:szCs w:val="20"/>
              </w:rPr>
              <w:t>18,956,922.73</w:t>
            </w:r>
          </w:p>
        </w:tc>
      </w:tr>
      <w:tr w:rsidR="00B90520" w:rsidRPr="005B77DD" w14:paraId="13681E28" w14:textId="77777777" w:rsidTr="00460015">
        <w:trPr>
          <w:trHeight w:val="274"/>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08967235" w14:textId="77777777" w:rsidR="00B90520" w:rsidRPr="005B77DD" w:rsidRDefault="00B90520" w:rsidP="00460015">
            <w:pPr>
              <w:rPr>
                <w:rFonts w:ascii="Arial" w:eastAsia="Times New Roman" w:hAnsi="Arial" w:cs="Arial"/>
                <w:color w:val="000000"/>
                <w:sz w:val="16"/>
                <w:szCs w:val="16"/>
              </w:rPr>
            </w:pPr>
            <w:r w:rsidRPr="005B77DD">
              <w:rPr>
                <w:rFonts w:ascii="Arial" w:eastAsia="Times New Roman" w:hAnsi="Arial" w:cs="Arial"/>
                <w:color w:val="000000"/>
                <w:sz w:val="16"/>
                <w:szCs w:val="16"/>
              </w:rPr>
              <w:t>FY 92-93</w:t>
            </w:r>
          </w:p>
        </w:tc>
        <w:tc>
          <w:tcPr>
            <w:tcW w:w="1559" w:type="dxa"/>
            <w:tcBorders>
              <w:top w:val="nil"/>
              <w:left w:val="nil"/>
              <w:bottom w:val="single" w:sz="4" w:space="0" w:color="auto"/>
              <w:right w:val="single" w:sz="4" w:space="0" w:color="auto"/>
            </w:tcBorders>
            <w:shd w:val="clear" w:color="auto" w:fill="auto"/>
            <w:noWrap/>
            <w:vAlign w:val="center"/>
            <w:hideMark/>
          </w:tcPr>
          <w:p w14:paraId="0EA81B79" w14:textId="77777777" w:rsidR="00B90520" w:rsidRPr="005B77DD" w:rsidRDefault="00B90520" w:rsidP="00460015">
            <w:pPr>
              <w:jc w:val="right"/>
              <w:rPr>
                <w:rFonts w:ascii="Arial" w:eastAsia="Times New Roman" w:hAnsi="Arial" w:cs="Arial"/>
                <w:color w:val="000000"/>
                <w:sz w:val="16"/>
                <w:szCs w:val="16"/>
              </w:rPr>
            </w:pPr>
            <w:r w:rsidRPr="005B77DD">
              <w:rPr>
                <w:rFonts w:ascii="Arial" w:eastAsia="Times New Roman" w:hAnsi="Arial" w:cs="Arial"/>
                <w:color w:val="000000"/>
                <w:sz w:val="16"/>
                <w:szCs w:val="16"/>
              </w:rPr>
              <w:t>$14,606,564.12</w:t>
            </w:r>
          </w:p>
        </w:tc>
        <w:tc>
          <w:tcPr>
            <w:tcW w:w="280" w:type="dxa"/>
            <w:tcBorders>
              <w:top w:val="nil"/>
              <w:left w:val="nil"/>
              <w:bottom w:val="nil"/>
              <w:right w:val="nil"/>
            </w:tcBorders>
            <w:shd w:val="clear" w:color="auto" w:fill="auto"/>
            <w:noWrap/>
            <w:vAlign w:val="center"/>
            <w:hideMark/>
          </w:tcPr>
          <w:p w14:paraId="6232A31F" w14:textId="77777777" w:rsidR="00B90520" w:rsidRPr="005B77DD" w:rsidRDefault="00B90520" w:rsidP="00460015">
            <w:pPr>
              <w:jc w:val="right"/>
              <w:rPr>
                <w:rFonts w:ascii="Arial" w:eastAsia="Times New Roman" w:hAnsi="Arial" w:cs="Arial"/>
                <w:color w:val="000000"/>
                <w:sz w:val="16"/>
                <w:szCs w:val="16"/>
              </w:rPr>
            </w:pPr>
          </w:p>
        </w:tc>
        <w:tc>
          <w:tcPr>
            <w:tcW w:w="1775" w:type="dxa"/>
            <w:gridSpan w:val="2"/>
            <w:tcBorders>
              <w:top w:val="nil"/>
              <w:left w:val="single" w:sz="4" w:space="0" w:color="auto"/>
              <w:bottom w:val="single" w:sz="4" w:space="0" w:color="auto"/>
              <w:right w:val="single" w:sz="4" w:space="0" w:color="auto"/>
            </w:tcBorders>
            <w:shd w:val="clear" w:color="auto" w:fill="auto"/>
            <w:noWrap/>
            <w:vAlign w:val="center"/>
            <w:hideMark/>
          </w:tcPr>
          <w:p w14:paraId="4BA8BA42" w14:textId="77777777" w:rsidR="00B90520" w:rsidRPr="005B77DD" w:rsidRDefault="00B90520" w:rsidP="00460015">
            <w:pPr>
              <w:rPr>
                <w:rFonts w:ascii="Arial" w:eastAsia="Times New Roman" w:hAnsi="Arial" w:cs="Arial"/>
                <w:sz w:val="16"/>
                <w:szCs w:val="16"/>
              </w:rPr>
            </w:pPr>
            <w:r w:rsidRPr="005B77DD">
              <w:rPr>
                <w:rFonts w:ascii="Arial" w:eastAsia="Times New Roman" w:hAnsi="Arial" w:cs="Arial"/>
                <w:sz w:val="16"/>
                <w:szCs w:val="16"/>
              </w:rPr>
              <w:t xml:space="preserve">30 </w:t>
            </w:r>
            <w:proofErr w:type="spellStart"/>
            <w:r w:rsidRPr="005B77DD">
              <w:rPr>
                <w:rFonts w:ascii="Arial" w:eastAsia="Times New Roman" w:hAnsi="Arial" w:cs="Arial"/>
                <w:sz w:val="16"/>
                <w:szCs w:val="16"/>
              </w:rPr>
              <w:t>Yr</w:t>
            </w:r>
            <w:proofErr w:type="spellEnd"/>
            <w:r w:rsidRPr="005B77DD">
              <w:rPr>
                <w:rFonts w:ascii="Arial" w:eastAsia="Times New Roman" w:hAnsi="Arial" w:cs="Arial"/>
                <w:sz w:val="16"/>
                <w:szCs w:val="16"/>
              </w:rPr>
              <w:t xml:space="preserve"> Average</w:t>
            </w:r>
          </w:p>
        </w:tc>
        <w:tc>
          <w:tcPr>
            <w:tcW w:w="1205" w:type="dxa"/>
            <w:tcBorders>
              <w:top w:val="nil"/>
              <w:left w:val="nil"/>
              <w:bottom w:val="single" w:sz="4" w:space="0" w:color="auto"/>
              <w:right w:val="single" w:sz="4" w:space="0" w:color="auto"/>
            </w:tcBorders>
            <w:shd w:val="clear" w:color="auto" w:fill="auto"/>
            <w:noWrap/>
            <w:vAlign w:val="center"/>
            <w:hideMark/>
          </w:tcPr>
          <w:p w14:paraId="22FE5DFB" w14:textId="77777777" w:rsidR="00B90520" w:rsidRPr="005B77DD" w:rsidRDefault="00B90520" w:rsidP="00460015">
            <w:pPr>
              <w:jc w:val="right"/>
              <w:rPr>
                <w:rFonts w:ascii="Times New Roman" w:eastAsia="Times New Roman" w:hAnsi="Times New Roman" w:cs="Times New Roman"/>
                <w:color w:val="000000"/>
                <w:sz w:val="20"/>
                <w:szCs w:val="20"/>
              </w:rPr>
            </w:pPr>
            <w:r w:rsidRPr="005B77DD">
              <w:rPr>
                <w:rFonts w:ascii="Times New Roman" w:eastAsia="Times New Roman" w:hAnsi="Times New Roman" w:cs="Times New Roman"/>
                <w:color w:val="000000"/>
                <w:sz w:val="20"/>
                <w:szCs w:val="20"/>
              </w:rPr>
              <w:t>18,957,906.27</w:t>
            </w:r>
          </w:p>
        </w:tc>
      </w:tr>
      <w:tr w:rsidR="00B90520" w:rsidRPr="005B77DD" w14:paraId="7F80E303" w14:textId="77777777" w:rsidTr="00460015">
        <w:trPr>
          <w:trHeight w:val="274"/>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1C59B24F" w14:textId="77777777" w:rsidR="00B90520" w:rsidRPr="005B77DD" w:rsidRDefault="00B90520" w:rsidP="00460015">
            <w:pPr>
              <w:rPr>
                <w:rFonts w:ascii="Arial" w:eastAsia="Times New Roman" w:hAnsi="Arial" w:cs="Arial"/>
                <w:color w:val="000000"/>
                <w:sz w:val="16"/>
                <w:szCs w:val="16"/>
              </w:rPr>
            </w:pPr>
            <w:r w:rsidRPr="005B77DD">
              <w:rPr>
                <w:rFonts w:ascii="Arial" w:eastAsia="Times New Roman" w:hAnsi="Arial" w:cs="Arial"/>
                <w:color w:val="000000"/>
                <w:sz w:val="16"/>
                <w:szCs w:val="16"/>
              </w:rPr>
              <w:t>FY 93-94</w:t>
            </w:r>
          </w:p>
        </w:tc>
        <w:tc>
          <w:tcPr>
            <w:tcW w:w="1559" w:type="dxa"/>
            <w:tcBorders>
              <w:top w:val="nil"/>
              <w:left w:val="nil"/>
              <w:bottom w:val="single" w:sz="4" w:space="0" w:color="auto"/>
              <w:right w:val="single" w:sz="4" w:space="0" w:color="auto"/>
            </w:tcBorders>
            <w:shd w:val="clear" w:color="auto" w:fill="auto"/>
            <w:noWrap/>
            <w:vAlign w:val="center"/>
            <w:hideMark/>
          </w:tcPr>
          <w:p w14:paraId="381A4901" w14:textId="77777777" w:rsidR="00B90520" w:rsidRPr="005B77DD" w:rsidRDefault="00B90520" w:rsidP="00460015">
            <w:pPr>
              <w:jc w:val="right"/>
              <w:rPr>
                <w:rFonts w:ascii="Arial" w:eastAsia="Times New Roman" w:hAnsi="Arial" w:cs="Arial"/>
                <w:color w:val="000000"/>
                <w:sz w:val="16"/>
                <w:szCs w:val="16"/>
              </w:rPr>
            </w:pPr>
            <w:r w:rsidRPr="005B77DD">
              <w:rPr>
                <w:rFonts w:ascii="Arial" w:eastAsia="Times New Roman" w:hAnsi="Arial" w:cs="Arial"/>
                <w:color w:val="000000"/>
                <w:sz w:val="16"/>
                <w:szCs w:val="16"/>
              </w:rPr>
              <w:t>$21,044,963.29</w:t>
            </w:r>
          </w:p>
        </w:tc>
        <w:tc>
          <w:tcPr>
            <w:tcW w:w="280" w:type="dxa"/>
            <w:tcBorders>
              <w:top w:val="nil"/>
              <w:left w:val="nil"/>
              <w:bottom w:val="nil"/>
              <w:right w:val="nil"/>
            </w:tcBorders>
            <w:shd w:val="clear" w:color="auto" w:fill="auto"/>
            <w:noWrap/>
            <w:vAlign w:val="center"/>
            <w:hideMark/>
          </w:tcPr>
          <w:p w14:paraId="636F9011" w14:textId="77777777" w:rsidR="00B90520" w:rsidRPr="005B77DD" w:rsidRDefault="00B90520" w:rsidP="00460015">
            <w:pPr>
              <w:jc w:val="right"/>
              <w:rPr>
                <w:rFonts w:ascii="Arial" w:eastAsia="Times New Roman" w:hAnsi="Arial" w:cs="Arial"/>
                <w:color w:val="000000"/>
                <w:sz w:val="16"/>
                <w:szCs w:val="16"/>
              </w:rPr>
            </w:pPr>
          </w:p>
        </w:tc>
        <w:tc>
          <w:tcPr>
            <w:tcW w:w="1775" w:type="dxa"/>
            <w:gridSpan w:val="2"/>
            <w:tcBorders>
              <w:top w:val="nil"/>
              <w:left w:val="single" w:sz="4" w:space="0" w:color="auto"/>
              <w:bottom w:val="single" w:sz="4" w:space="0" w:color="auto"/>
              <w:right w:val="single" w:sz="4" w:space="0" w:color="auto"/>
            </w:tcBorders>
            <w:shd w:val="clear" w:color="auto" w:fill="auto"/>
            <w:noWrap/>
            <w:vAlign w:val="center"/>
            <w:hideMark/>
          </w:tcPr>
          <w:p w14:paraId="49F6BACF" w14:textId="77777777" w:rsidR="00B90520" w:rsidRPr="005B77DD" w:rsidRDefault="00B90520" w:rsidP="00460015">
            <w:pPr>
              <w:rPr>
                <w:rFonts w:ascii="Arial" w:eastAsia="Times New Roman" w:hAnsi="Arial" w:cs="Arial"/>
                <w:sz w:val="16"/>
                <w:szCs w:val="16"/>
              </w:rPr>
            </w:pPr>
            <w:r w:rsidRPr="005B77DD">
              <w:rPr>
                <w:rFonts w:ascii="Arial" w:eastAsia="Times New Roman" w:hAnsi="Arial" w:cs="Arial"/>
                <w:sz w:val="16"/>
                <w:szCs w:val="16"/>
              </w:rPr>
              <w:t>Avg Since Inception</w:t>
            </w:r>
          </w:p>
        </w:tc>
        <w:tc>
          <w:tcPr>
            <w:tcW w:w="1205" w:type="dxa"/>
            <w:tcBorders>
              <w:top w:val="nil"/>
              <w:left w:val="nil"/>
              <w:bottom w:val="single" w:sz="4" w:space="0" w:color="auto"/>
              <w:right w:val="single" w:sz="4" w:space="0" w:color="auto"/>
            </w:tcBorders>
            <w:shd w:val="clear" w:color="auto" w:fill="auto"/>
            <w:noWrap/>
            <w:vAlign w:val="center"/>
            <w:hideMark/>
          </w:tcPr>
          <w:p w14:paraId="196980DA" w14:textId="77777777" w:rsidR="00B90520" w:rsidRPr="005B77DD" w:rsidRDefault="00B90520" w:rsidP="00460015">
            <w:pPr>
              <w:jc w:val="right"/>
              <w:rPr>
                <w:rFonts w:ascii="Times New Roman" w:eastAsia="Times New Roman" w:hAnsi="Times New Roman" w:cs="Times New Roman"/>
                <w:color w:val="000000"/>
                <w:sz w:val="20"/>
                <w:szCs w:val="20"/>
              </w:rPr>
            </w:pPr>
            <w:r w:rsidRPr="005B77DD">
              <w:rPr>
                <w:rFonts w:ascii="Times New Roman" w:eastAsia="Times New Roman" w:hAnsi="Times New Roman" w:cs="Times New Roman"/>
                <w:color w:val="000000"/>
                <w:sz w:val="20"/>
                <w:szCs w:val="20"/>
              </w:rPr>
              <w:t>18,182,146.24</w:t>
            </w:r>
          </w:p>
        </w:tc>
      </w:tr>
      <w:tr w:rsidR="00B90520" w:rsidRPr="005B77DD" w14:paraId="76640FFF" w14:textId="77777777" w:rsidTr="00460015">
        <w:trPr>
          <w:trHeight w:val="274"/>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0E91F6A9" w14:textId="77777777" w:rsidR="00B90520" w:rsidRPr="005B77DD" w:rsidRDefault="00B90520" w:rsidP="00460015">
            <w:pPr>
              <w:rPr>
                <w:rFonts w:ascii="Arial" w:eastAsia="Times New Roman" w:hAnsi="Arial" w:cs="Arial"/>
                <w:color w:val="000000"/>
                <w:sz w:val="16"/>
                <w:szCs w:val="16"/>
              </w:rPr>
            </w:pPr>
            <w:r w:rsidRPr="005B77DD">
              <w:rPr>
                <w:rFonts w:ascii="Arial" w:eastAsia="Times New Roman" w:hAnsi="Arial" w:cs="Arial"/>
                <w:color w:val="000000"/>
                <w:sz w:val="16"/>
                <w:szCs w:val="16"/>
              </w:rPr>
              <w:t>FY 94-95</w:t>
            </w:r>
          </w:p>
        </w:tc>
        <w:tc>
          <w:tcPr>
            <w:tcW w:w="1559" w:type="dxa"/>
            <w:tcBorders>
              <w:top w:val="nil"/>
              <w:left w:val="nil"/>
              <w:bottom w:val="single" w:sz="4" w:space="0" w:color="auto"/>
              <w:right w:val="single" w:sz="4" w:space="0" w:color="auto"/>
            </w:tcBorders>
            <w:shd w:val="clear" w:color="auto" w:fill="auto"/>
            <w:noWrap/>
            <w:vAlign w:val="center"/>
            <w:hideMark/>
          </w:tcPr>
          <w:p w14:paraId="10B05B95" w14:textId="77777777" w:rsidR="00B90520" w:rsidRPr="005B77DD" w:rsidRDefault="00B90520" w:rsidP="00460015">
            <w:pPr>
              <w:jc w:val="right"/>
              <w:rPr>
                <w:rFonts w:ascii="Arial" w:eastAsia="Times New Roman" w:hAnsi="Arial" w:cs="Arial"/>
                <w:color w:val="000000"/>
                <w:sz w:val="16"/>
                <w:szCs w:val="16"/>
              </w:rPr>
            </w:pPr>
            <w:r w:rsidRPr="005B77DD">
              <w:rPr>
                <w:rFonts w:ascii="Arial" w:eastAsia="Times New Roman" w:hAnsi="Arial" w:cs="Arial"/>
                <w:color w:val="000000"/>
                <w:sz w:val="16"/>
                <w:szCs w:val="16"/>
              </w:rPr>
              <w:t>$14,774,261.21</w:t>
            </w:r>
          </w:p>
        </w:tc>
        <w:tc>
          <w:tcPr>
            <w:tcW w:w="280" w:type="dxa"/>
            <w:tcBorders>
              <w:top w:val="nil"/>
              <w:left w:val="nil"/>
              <w:bottom w:val="nil"/>
              <w:right w:val="nil"/>
            </w:tcBorders>
            <w:shd w:val="clear" w:color="auto" w:fill="auto"/>
            <w:noWrap/>
            <w:vAlign w:val="center"/>
            <w:hideMark/>
          </w:tcPr>
          <w:p w14:paraId="58B620B8" w14:textId="77777777" w:rsidR="00B90520" w:rsidRPr="005B77DD" w:rsidRDefault="00B90520" w:rsidP="00460015">
            <w:pPr>
              <w:jc w:val="right"/>
              <w:rPr>
                <w:rFonts w:ascii="Arial" w:eastAsia="Times New Roman" w:hAnsi="Arial" w:cs="Arial"/>
                <w:color w:val="000000"/>
                <w:sz w:val="16"/>
                <w:szCs w:val="16"/>
              </w:rPr>
            </w:pPr>
          </w:p>
        </w:tc>
        <w:tc>
          <w:tcPr>
            <w:tcW w:w="1775" w:type="dxa"/>
            <w:gridSpan w:val="2"/>
            <w:tcBorders>
              <w:top w:val="nil"/>
              <w:left w:val="single" w:sz="4" w:space="0" w:color="auto"/>
              <w:bottom w:val="single" w:sz="4" w:space="0" w:color="auto"/>
              <w:right w:val="single" w:sz="4" w:space="0" w:color="auto"/>
            </w:tcBorders>
            <w:shd w:val="clear" w:color="auto" w:fill="auto"/>
            <w:noWrap/>
            <w:vAlign w:val="center"/>
            <w:hideMark/>
          </w:tcPr>
          <w:p w14:paraId="5E121885" w14:textId="77777777" w:rsidR="00B90520" w:rsidRPr="005B77DD" w:rsidRDefault="00B90520" w:rsidP="00460015">
            <w:pPr>
              <w:rPr>
                <w:rFonts w:ascii="Arial" w:eastAsia="Times New Roman" w:hAnsi="Arial" w:cs="Arial"/>
                <w:sz w:val="16"/>
                <w:szCs w:val="16"/>
              </w:rPr>
            </w:pPr>
            <w:r w:rsidRPr="005B77DD">
              <w:rPr>
                <w:rFonts w:ascii="Arial" w:eastAsia="Times New Roman" w:hAnsi="Arial" w:cs="Arial"/>
                <w:sz w:val="16"/>
                <w:szCs w:val="16"/>
              </w:rPr>
              <w:t>Max</w:t>
            </w:r>
          </w:p>
        </w:tc>
        <w:tc>
          <w:tcPr>
            <w:tcW w:w="1205" w:type="dxa"/>
            <w:tcBorders>
              <w:top w:val="nil"/>
              <w:left w:val="nil"/>
              <w:bottom w:val="single" w:sz="4" w:space="0" w:color="auto"/>
              <w:right w:val="single" w:sz="4" w:space="0" w:color="auto"/>
            </w:tcBorders>
            <w:shd w:val="clear" w:color="auto" w:fill="auto"/>
            <w:noWrap/>
            <w:vAlign w:val="center"/>
            <w:hideMark/>
          </w:tcPr>
          <w:p w14:paraId="774392CF" w14:textId="77777777" w:rsidR="00B90520" w:rsidRPr="005B77DD" w:rsidRDefault="00B90520" w:rsidP="00460015">
            <w:pPr>
              <w:jc w:val="right"/>
              <w:rPr>
                <w:rFonts w:ascii="Times New Roman" w:eastAsia="Times New Roman" w:hAnsi="Times New Roman" w:cs="Times New Roman"/>
                <w:color w:val="000000"/>
                <w:sz w:val="20"/>
                <w:szCs w:val="20"/>
              </w:rPr>
            </w:pPr>
            <w:r w:rsidRPr="005B77DD">
              <w:rPr>
                <w:rFonts w:ascii="Times New Roman" w:eastAsia="Times New Roman" w:hAnsi="Times New Roman" w:cs="Times New Roman"/>
                <w:color w:val="000000"/>
                <w:sz w:val="20"/>
                <w:szCs w:val="20"/>
              </w:rPr>
              <w:t>38,020,941.87</w:t>
            </w:r>
          </w:p>
        </w:tc>
      </w:tr>
      <w:tr w:rsidR="00B90520" w:rsidRPr="005B77DD" w14:paraId="4798A518" w14:textId="77777777" w:rsidTr="00460015">
        <w:trPr>
          <w:trHeight w:val="274"/>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77C6B321" w14:textId="77777777" w:rsidR="00B90520" w:rsidRPr="005B77DD" w:rsidRDefault="00B90520" w:rsidP="00460015">
            <w:pPr>
              <w:rPr>
                <w:rFonts w:ascii="Arial" w:eastAsia="Times New Roman" w:hAnsi="Arial" w:cs="Arial"/>
                <w:color w:val="000000"/>
                <w:sz w:val="16"/>
                <w:szCs w:val="16"/>
              </w:rPr>
            </w:pPr>
            <w:r w:rsidRPr="005B77DD">
              <w:rPr>
                <w:rFonts w:ascii="Arial" w:eastAsia="Times New Roman" w:hAnsi="Arial" w:cs="Arial"/>
                <w:color w:val="000000"/>
                <w:sz w:val="16"/>
                <w:szCs w:val="16"/>
              </w:rPr>
              <w:t>FY 95-96</w:t>
            </w:r>
          </w:p>
        </w:tc>
        <w:tc>
          <w:tcPr>
            <w:tcW w:w="1559" w:type="dxa"/>
            <w:tcBorders>
              <w:top w:val="nil"/>
              <w:left w:val="nil"/>
              <w:bottom w:val="single" w:sz="4" w:space="0" w:color="auto"/>
              <w:right w:val="single" w:sz="4" w:space="0" w:color="auto"/>
            </w:tcBorders>
            <w:shd w:val="clear" w:color="auto" w:fill="auto"/>
            <w:noWrap/>
            <w:vAlign w:val="center"/>
            <w:hideMark/>
          </w:tcPr>
          <w:p w14:paraId="1CD2DED1" w14:textId="77777777" w:rsidR="00B90520" w:rsidRPr="005B77DD" w:rsidRDefault="00B90520" w:rsidP="00460015">
            <w:pPr>
              <w:jc w:val="right"/>
              <w:rPr>
                <w:rFonts w:ascii="Arial" w:eastAsia="Times New Roman" w:hAnsi="Arial" w:cs="Arial"/>
                <w:color w:val="000000"/>
                <w:sz w:val="16"/>
                <w:szCs w:val="16"/>
              </w:rPr>
            </w:pPr>
            <w:r w:rsidRPr="005B77DD">
              <w:rPr>
                <w:rFonts w:ascii="Arial" w:eastAsia="Times New Roman" w:hAnsi="Arial" w:cs="Arial"/>
                <w:color w:val="000000"/>
                <w:sz w:val="16"/>
                <w:szCs w:val="16"/>
              </w:rPr>
              <w:t>$17,969,858.53</w:t>
            </w:r>
          </w:p>
        </w:tc>
        <w:tc>
          <w:tcPr>
            <w:tcW w:w="280" w:type="dxa"/>
            <w:tcBorders>
              <w:top w:val="nil"/>
              <w:left w:val="nil"/>
              <w:bottom w:val="nil"/>
              <w:right w:val="nil"/>
            </w:tcBorders>
            <w:shd w:val="clear" w:color="auto" w:fill="auto"/>
            <w:noWrap/>
            <w:vAlign w:val="center"/>
            <w:hideMark/>
          </w:tcPr>
          <w:p w14:paraId="60BACC12" w14:textId="77777777" w:rsidR="00B90520" w:rsidRPr="005B77DD" w:rsidRDefault="00B90520" w:rsidP="00460015">
            <w:pPr>
              <w:jc w:val="right"/>
              <w:rPr>
                <w:rFonts w:ascii="Arial" w:eastAsia="Times New Roman" w:hAnsi="Arial" w:cs="Arial"/>
                <w:color w:val="000000"/>
                <w:sz w:val="16"/>
                <w:szCs w:val="16"/>
              </w:rPr>
            </w:pPr>
          </w:p>
        </w:tc>
        <w:tc>
          <w:tcPr>
            <w:tcW w:w="1775" w:type="dxa"/>
            <w:gridSpan w:val="2"/>
            <w:tcBorders>
              <w:top w:val="nil"/>
              <w:left w:val="single" w:sz="4" w:space="0" w:color="auto"/>
              <w:bottom w:val="single" w:sz="4" w:space="0" w:color="auto"/>
              <w:right w:val="single" w:sz="4" w:space="0" w:color="auto"/>
            </w:tcBorders>
            <w:shd w:val="clear" w:color="auto" w:fill="auto"/>
            <w:noWrap/>
            <w:vAlign w:val="center"/>
            <w:hideMark/>
          </w:tcPr>
          <w:p w14:paraId="7933A7B3" w14:textId="77777777" w:rsidR="00B90520" w:rsidRPr="005B77DD" w:rsidRDefault="00B90520" w:rsidP="00460015">
            <w:pPr>
              <w:rPr>
                <w:rFonts w:ascii="Arial" w:eastAsia="Times New Roman" w:hAnsi="Arial" w:cs="Arial"/>
                <w:sz w:val="16"/>
                <w:szCs w:val="16"/>
              </w:rPr>
            </w:pPr>
            <w:r w:rsidRPr="005B77DD">
              <w:rPr>
                <w:rFonts w:ascii="Arial" w:eastAsia="Times New Roman" w:hAnsi="Arial" w:cs="Arial"/>
                <w:sz w:val="16"/>
                <w:szCs w:val="16"/>
              </w:rPr>
              <w:t>Min</w:t>
            </w:r>
          </w:p>
        </w:tc>
        <w:tc>
          <w:tcPr>
            <w:tcW w:w="1205" w:type="dxa"/>
            <w:tcBorders>
              <w:top w:val="nil"/>
              <w:left w:val="nil"/>
              <w:bottom w:val="single" w:sz="4" w:space="0" w:color="auto"/>
              <w:right w:val="single" w:sz="4" w:space="0" w:color="auto"/>
            </w:tcBorders>
            <w:shd w:val="clear" w:color="auto" w:fill="auto"/>
            <w:noWrap/>
            <w:vAlign w:val="center"/>
            <w:hideMark/>
          </w:tcPr>
          <w:p w14:paraId="4DB58413" w14:textId="77777777" w:rsidR="00B90520" w:rsidRPr="005B77DD" w:rsidRDefault="00B90520" w:rsidP="00460015">
            <w:pPr>
              <w:jc w:val="right"/>
              <w:rPr>
                <w:rFonts w:ascii="Times New Roman" w:eastAsia="Times New Roman" w:hAnsi="Times New Roman" w:cs="Times New Roman"/>
                <w:color w:val="000000"/>
                <w:sz w:val="20"/>
                <w:szCs w:val="20"/>
              </w:rPr>
            </w:pPr>
            <w:r w:rsidRPr="005B77DD">
              <w:rPr>
                <w:rFonts w:ascii="Times New Roman" w:eastAsia="Times New Roman" w:hAnsi="Times New Roman" w:cs="Times New Roman"/>
                <w:color w:val="000000"/>
                <w:sz w:val="20"/>
                <w:szCs w:val="20"/>
              </w:rPr>
              <w:t>230,074.68</w:t>
            </w:r>
          </w:p>
        </w:tc>
      </w:tr>
      <w:tr w:rsidR="00B90520" w:rsidRPr="005B77DD" w14:paraId="26232D67" w14:textId="77777777" w:rsidTr="00460015">
        <w:trPr>
          <w:trHeight w:val="274"/>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46025B8A" w14:textId="77777777" w:rsidR="00B90520" w:rsidRPr="005B77DD" w:rsidRDefault="00B90520" w:rsidP="00460015">
            <w:pPr>
              <w:rPr>
                <w:rFonts w:ascii="Arial" w:eastAsia="Times New Roman" w:hAnsi="Arial" w:cs="Arial"/>
                <w:color w:val="000000"/>
                <w:sz w:val="16"/>
                <w:szCs w:val="16"/>
              </w:rPr>
            </w:pPr>
            <w:r w:rsidRPr="005B77DD">
              <w:rPr>
                <w:rFonts w:ascii="Arial" w:eastAsia="Times New Roman" w:hAnsi="Arial" w:cs="Arial"/>
                <w:color w:val="000000"/>
                <w:sz w:val="16"/>
                <w:szCs w:val="16"/>
              </w:rPr>
              <w:t>FY 96-97</w:t>
            </w:r>
          </w:p>
        </w:tc>
        <w:tc>
          <w:tcPr>
            <w:tcW w:w="1559" w:type="dxa"/>
            <w:tcBorders>
              <w:top w:val="nil"/>
              <w:left w:val="nil"/>
              <w:bottom w:val="single" w:sz="4" w:space="0" w:color="auto"/>
              <w:right w:val="single" w:sz="4" w:space="0" w:color="auto"/>
            </w:tcBorders>
            <w:shd w:val="clear" w:color="auto" w:fill="auto"/>
            <w:noWrap/>
            <w:vAlign w:val="center"/>
            <w:hideMark/>
          </w:tcPr>
          <w:p w14:paraId="637EA475" w14:textId="77777777" w:rsidR="00B90520" w:rsidRPr="005B77DD" w:rsidRDefault="00B90520" w:rsidP="00460015">
            <w:pPr>
              <w:jc w:val="right"/>
              <w:rPr>
                <w:rFonts w:ascii="Arial" w:eastAsia="Times New Roman" w:hAnsi="Arial" w:cs="Arial"/>
                <w:color w:val="000000"/>
                <w:sz w:val="16"/>
                <w:szCs w:val="16"/>
              </w:rPr>
            </w:pPr>
            <w:r w:rsidRPr="005B77DD">
              <w:rPr>
                <w:rFonts w:ascii="Arial" w:eastAsia="Times New Roman" w:hAnsi="Arial" w:cs="Arial"/>
                <w:color w:val="000000"/>
                <w:sz w:val="16"/>
                <w:szCs w:val="16"/>
              </w:rPr>
              <w:t>$26,419,456.06</w:t>
            </w:r>
          </w:p>
        </w:tc>
        <w:tc>
          <w:tcPr>
            <w:tcW w:w="280" w:type="dxa"/>
            <w:tcBorders>
              <w:top w:val="nil"/>
              <w:left w:val="nil"/>
              <w:bottom w:val="nil"/>
              <w:right w:val="nil"/>
            </w:tcBorders>
            <w:shd w:val="clear" w:color="auto" w:fill="auto"/>
            <w:noWrap/>
            <w:vAlign w:val="center"/>
            <w:hideMark/>
          </w:tcPr>
          <w:p w14:paraId="0C7808DB" w14:textId="77777777" w:rsidR="00B90520" w:rsidRPr="005B77DD" w:rsidRDefault="00B90520" w:rsidP="00460015">
            <w:pPr>
              <w:jc w:val="right"/>
              <w:rPr>
                <w:rFonts w:ascii="Arial" w:eastAsia="Times New Roman" w:hAnsi="Arial" w:cs="Arial"/>
                <w:color w:val="000000"/>
                <w:sz w:val="16"/>
                <w:szCs w:val="16"/>
              </w:rPr>
            </w:pPr>
          </w:p>
        </w:tc>
        <w:tc>
          <w:tcPr>
            <w:tcW w:w="1557" w:type="dxa"/>
            <w:tcBorders>
              <w:top w:val="nil"/>
              <w:left w:val="nil"/>
              <w:bottom w:val="nil"/>
              <w:right w:val="nil"/>
            </w:tcBorders>
            <w:shd w:val="clear" w:color="auto" w:fill="auto"/>
            <w:noWrap/>
            <w:vAlign w:val="center"/>
            <w:hideMark/>
          </w:tcPr>
          <w:p w14:paraId="73F85FB2" w14:textId="77777777" w:rsidR="00B90520" w:rsidRPr="005B77DD" w:rsidRDefault="00B90520" w:rsidP="00460015">
            <w:pPr>
              <w:rPr>
                <w:rFonts w:ascii="Times New Roman" w:eastAsia="Times New Roman" w:hAnsi="Times New Roman" w:cs="Times New Roman"/>
                <w:sz w:val="20"/>
                <w:szCs w:val="20"/>
              </w:rPr>
            </w:pPr>
          </w:p>
        </w:tc>
        <w:tc>
          <w:tcPr>
            <w:tcW w:w="1423" w:type="dxa"/>
            <w:gridSpan w:val="2"/>
            <w:tcBorders>
              <w:top w:val="nil"/>
              <w:left w:val="nil"/>
              <w:bottom w:val="nil"/>
              <w:right w:val="nil"/>
            </w:tcBorders>
            <w:shd w:val="clear" w:color="auto" w:fill="auto"/>
            <w:noWrap/>
            <w:vAlign w:val="center"/>
            <w:hideMark/>
          </w:tcPr>
          <w:p w14:paraId="1A7C1AF7" w14:textId="77777777" w:rsidR="00B90520" w:rsidRPr="005B77DD" w:rsidRDefault="00B90520" w:rsidP="00460015">
            <w:pPr>
              <w:rPr>
                <w:rFonts w:ascii="Times New Roman" w:eastAsia="Times New Roman" w:hAnsi="Times New Roman" w:cs="Times New Roman"/>
                <w:sz w:val="20"/>
                <w:szCs w:val="20"/>
              </w:rPr>
            </w:pPr>
          </w:p>
        </w:tc>
      </w:tr>
      <w:tr w:rsidR="00B90520" w:rsidRPr="005B77DD" w14:paraId="07D02713" w14:textId="77777777" w:rsidTr="00460015">
        <w:trPr>
          <w:trHeight w:val="274"/>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2E91A0AF" w14:textId="77777777" w:rsidR="00B90520" w:rsidRPr="005B77DD" w:rsidRDefault="00B90520" w:rsidP="00460015">
            <w:pPr>
              <w:rPr>
                <w:rFonts w:ascii="Arial" w:eastAsia="Times New Roman" w:hAnsi="Arial" w:cs="Arial"/>
                <w:color w:val="000000"/>
                <w:sz w:val="16"/>
                <w:szCs w:val="16"/>
              </w:rPr>
            </w:pPr>
            <w:r w:rsidRPr="005B77DD">
              <w:rPr>
                <w:rFonts w:ascii="Arial" w:eastAsia="Times New Roman" w:hAnsi="Arial" w:cs="Arial"/>
                <w:color w:val="000000"/>
                <w:sz w:val="16"/>
                <w:szCs w:val="16"/>
              </w:rPr>
              <w:t>FY 97-98</w:t>
            </w:r>
          </w:p>
        </w:tc>
        <w:tc>
          <w:tcPr>
            <w:tcW w:w="1559" w:type="dxa"/>
            <w:tcBorders>
              <w:top w:val="nil"/>
              <w:left w:val="nil"/>
              <w:bottom w:val="single" w:sz="4" w:space="0" w:color="auto"/>
              <w:right w:val="single" w:sz="4" w:space="0" w:color="auto"/>
            </w:tcBorders>
            <w:shd w:val="clear" w:color="auto" w:fill="auto"/>
            <w:noWrap/>
            <w:vAlign w:val="center"/>
            <w:hideMark/>
          </w:tcPr>
          <w:p w14:paraId="23CE325E" w14:textId="77777777" w:rsidR="00B90520" w:rsidRPr="005B77DD" w:rsidRDefault="00B90520" w:rsidP="00460015">
            <w:pPr>
              <w:jc w:val="right"/>
              <w:rPr>
                <w:rFonts w:ascii="Arial" w:eastAsia="Times New Roman" w:hAnsi="Arial" w:cs="Arial"/>
                <w:sz w:val="16"/>
                <w:szCs w:val="16"/>
              </w:rPr>
            </w:pPr>
            <w:r w:rsidRPr="005B77DD">
              <w:rPr>
                <w:rFonts w:ascii="Arial" w:eastAsia="Times New Roman" w:hAnsi="Arial" w:cs="Arial"/>
                <w:sz w:val="16"/>
                <w:szCs w:val="16"/>
              </w:rPr>
              <w:t>$24,585,874.56</w:t>
            </w:r>
          </w:p>
        </w:tc>
        <w:tc>
          <w:tcPr>
            <w:tcW w:w="280" w:type="dxa"/>
            <w:tcBorders>
              <w:top w:val="nil"/>
              <w:left w:val="nil"/>
              <w:bottom w:val="nil"/>
              <w:right w:val="nil"/>
            </w:tcBorders>
            <w:shd w:val="clear" w:color="auto" w:fill="auto"/>
            <w:noWrap/>
            <w:vAlign w:val="center"/>
            <w:hideMark/>
          </w:tcPr>
          <w:p w14:paraId="386EFCFE" w14:textId="77777777" w:rsidR="00B90520" w:rsidRPr="005B77DD" w:rsidRDefault="00B90520" w:rsidP="00460015">
            <w:pPr>
              <w:jc w:val="right"/>
              <w:rPr>
                <w:rFonts w:ascii="Arial" w:eastAsia="Times New Roman" w:hAnsi="Arial" w:cs="Arial"/>
                <w:sz w:val="16"/>
                <w:szCs w:val="16"/>
              </w:rPr>
            </w:pPr>
          </w:p>
        </w:tc>
        <w:tc>
          <w:tcPr>
            <w:tcW w:w="1557" w:type="dxa"/>
            <w:tcBorders>
              <w:top w:val="nil"/>
              <w:left w:val="nil"/>
              <w:bottom w:val="nil"/>
              <w:right w:val="nil"/>
            </w:tcBorders>
            <w:shd w:val="clear" w:color="auto" w:fill="auto"/>
            <w:noWrap/>
            <w:vAlign w:val="center"/>
            <w:hideMark/>
          </w:tcPr>
          <w:p w14:paraId="14EC62A2" w14:textId="77777777" w:rsidR="00B90520" w:rsidRPr="005B77DD" w:rsidRDefault="00B90520" w:rsidP="00460015">
            <w:pPr>
              <w:rPr>
                <w:rFonts w:ascii="Times New Roman" w:eastAsia="Times New Roman" w:hAnsi="Times New Roman" w:cs="Times New Roman"/>
                <w:sz w:val="20"/>
                <w:szCs w:val="20"/>
              </w:rPr>
            </w:pPr>
          </w:p>
        </w:tc>
        <w:tc>
          <w:tcPr>
            <w:tcW w:w="1423" w:type="dxa"/>
            <w:gridSpan w:val="2"/>
            <w:tcBorders>
              <w:top w:val="nil"/>
              <w:left w:val="nil"/>
              <w:bottom w:val="nil"/>
              <w:right w:val="nil"/>
            </w:tcBorders>
            <w:shd w:val="clear" w:color="auto" w:fill="auto"/>
            <w:noWrap/>
            <w:vAlign w:val="center"/>
            <w:hideMark/>
          </w:tcPr>
          <w:p w14:paraId="4B90A9D5" w14:textId="77777777" w:rsidR="00B90520" w:rsidRPr="005B77DD" w:rsidRDefault="00B90520" w:rsidP="00460015">
            <w:pPr>
              <w:rPr>
                <w:rFonts w:ascii="Times New Roman" w:eastAsia="Times New Roman" w:hAnsi="Times New Roman" w:cs="Times New Roman"/>
                <w:sz w:val="20"/>
                <w:szCs w:val="20"/>
              </w:rPr>
            </w:pPr>
          </w:p>
        </w:tc>
      </w:tr>
      <w:tr w:rsidR="00B90520" w:rsidRPr="005B77DD" w14:paraId="6F280118" w14:textId="77777777" w:rsidTr="00460015">
        <w:trPr>
          <w:trHeight w:val="274"/>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5777BD72" w14:textId="77777777" w:rsidR="00B90520" w:rsidRPr="005B77DD" w:rsidRDefault="00B90520" w:rsidP="00460015">
            <w:pPr>
              <w:rPr>
                <w:rFonts w:ascii="Arial" w:eastAsia="Times New Roman" w:hAnsi="Arial" w:cs="Arial"/>
                <w:color w:val="000000"/>
                <w:sz w:val="16"/>
                <w:szCs w:val="16"/>
              </w:rPr>
            </w:pPr>
            <w:r w:rsidRPr="005B77DD">
              <w:rPr>
                <w:rFonts w:ascii="Arial" w:eastAsia="Times New Roman" w:hAnsi="Arial" w:cs="Arial"/>
                <w:color w:val="000000"/>
                <w:sz w:val="16"/>
                <w:szCs w:val="16"/>
              </w:rPr>
              <w:t>FY 98-99</w:t>
            </w:r>
          </w:p>
        </w:tc>
        <w:tc>
          <w:tcPr>
            <w:tcW w:w="1559" w:type="dxa"/>
            <w:tcBorders>
              <w:top w:val="nil"/>
              <w:left w:val="nil"/>
              <w:bottom w:val="single" w:sz="4" w:space="0" w:color="auto"/>
              <w:right w:val="single" w:sz="4" w:space="0" w:color="auto"/>
            </w:tcBorders>
            <w:shd w:val="clear" w:color="auto" w:fill="auto"/>
            <w:noWrap/>
            <w:vAlign w:val="center"/>
            <w:hideMark/>
          </w:tcPr>
          <w:p w14:paraId="27ABAB70" w14:textId="77777777" w:rsidR="00B90520" w:rsidRPr="005B77DD" w:rsidRDefault="00B90520" w:rsidP="00460015">
            <w:pPr>
              <w:jc w:val="right"/>
              <w:rPr>
                <w:rFonts w:ascii="Arial" w:eastAsia="Times New Roman" w:hAnsi="Arial" w:cs="Arial"/>
                <w:sz w:val="16"/>
                <w:szCs w:val="16"/>
              </w:rPr>
            </w:pPr>
            <w:r w:rsidRPr="005B77DD">
              <w:rPr>
                <w:rFonts w:ascii="Arial" w:eastAsia="Times New Roman" w:hAnsi="Arial" w:cs="Arial"/>
                <w:sz w:val="16"/>
                <w:szCs w:val="16"/>
              </w:rPr>
              <w:t>$16,830,485.83</w:t>
            </w:r>
          </w:p>
        </w:tc>
        <w:tc>
          <w:tcPr>
            <w:tcW w:w="280" w:type="dxa"/>
            <w:tcBorders>
              <w:top w:val="nil"/>
              <w:left w:val="nil"/>
              <w:bottom w:val="nil"/>
              <w:right w:val="nil"/>
            </w:tcBorders>
            <w:shd w:val="clear" w:color="auto" w:fill="auto"/>
            <w:noWrap/>
            <w:vAlign w:val="center"/>
            <w:hideMark/>
          </w:tcPr>
          <w:p w14:paraId="7FDCA62D" w14:textId="77777777" w:rsidR="00B90520" w:rsidRPr="005B77DD" w:rsidRDefault="00B90520" w:rsidP="00460015">
            <w:pPr>
              <w:jc w:val="right"/>
              <w:rPr>
                <w:rFonts w:ascii="Arial" w:eastAsia="Times New Roman" w:hAnsi="Arial" w:cs="Arial"/>
                <w:sz w:val="16"/>
                <w:szCs w:val="16"/>
              </w:rPr>
            </w:pPr>
          </w:p>
        </w:tc>
        <w:tc>
          <w:tcPr>
            <w:tcW w:w="1557" w:type="dxa"/>
            <w:tcBorders>
              <w:top w:val="nil"/>
              <w:left w:val="nil"/>
              <w:bottom w:val="nil"/>
              <w:right w:val="nil"/>
            </w:tcBorders>
            <w:shd w:val="clear" w:color="auto" w:fill="auto"/>
            <w:noWrap/>
            <w:vAlign w:val="center"/>
            <w:hideMark/>
          </w:tcPr>
          <w:p w14:paraId="4EDFF8EB" w14:textId="77777777" w:rsidR="00B90520" w:rsidRPr="005B77DD" w:rsidRDefault="00B90520" w:rsidP="00460015">
            <w:pPr>
              <w:rPr>
                <w:rFonts w:ascii="Times New Roman" w:eastAsia="Times New Roman" w:hAnsi="Times New Roman" w:cs="Times New Roman"/>
                <w:sz w:val="20"/>
                <w:szCs w:val="20"/>
              </w:rPr>
            </w:pPr>
          </w:p>
        </w:tc>
        <w:tc>
          <w:tcPr>
            <w:tcW w:w="1423" w:type="dxa"/>
            <w:gridSpan w:val="2"/>
            <w:tcBorders>
              <w:top w:val="nil"/>
              <w:left w:val="nil"/>
              <w:bottom w:val="nil"/>
              <w:right w:val="nil"/>
            </w:tcBorders>
            <w:shd w:val="clear" w:color="auto" w:fill="auto"/>
            <w:noWrap/>
            <w:vAlign w:val="center"/>
            <w:hideMark/>
          </w:tcPr>
          <w:p w14:paraId="015D30DB" w14:textId="77777777" w:rsidR="00B90520" w:rsidRPr="005B77DD" w:rsidRDefault="00B90520" w:rsidP="00460015">
            <w:pPr>
              <w:rPr>
                <w:rFonts w:ascii="Times New Roman" w:eastAsia="Times New Roman" w:hAnsi="Times New Roman" w:cs="Times New Roman"/>
                <w:sz w:val="20"/>
                <w:szCs w:val="20"/>
              </w:rPr>
            </w:pPr>
          </w:p>
        </w:tc>
      </w:tr>
      <w:tr w:rsidR="00B90520" w:rsidRPr="005B77DD" w14:paraId="54803F47" w14:textId="77777777" w:rsidTr="00460015">
        <w:trPr>
          <w:trHeight w:val="274"/>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6CBEF71E" w14:textId="77777777" w:rsidR="00B90520" w:rsidRPr="005B77DD" w:rsidRDefault="00B90520" w:rsidP="00460015">
            <w:pPr>
              <w:rPr>
                <w:rFonts w:ascii="Arial" w:eastAsia="Times New Roman" w:hAnsi="Arial" w:cs="Arial"/>
                <w:color w:val="000000"/>
                <w:sz w:val="16"/>
                <w:szCs w:val="16"/>
              </w:rPr>
            </w:pPr>
            <w:r w:rsidRPr="005B77DD">
              <w:rPr>
                <w:rFonts w:ascii="Arial" w:eastAsia="Times New Roman" w:hAnsi="Arial" w:cs="Arial"/>
                <w:color w:val="000000"/>
                <w:sz w:val="16"/>
                <w:szCs w:val="16"/>
              </w:rPr>
              <w:t>FY 99-00</w:t>
            </w:r>
          </w:p>
        </w:tc>
        <w:tc>
          <w:tcPr>
            <w:tcW w:w="1559" w:type="dxa"/>
            <w:tcBorders>
              <w:top w:val="nil"/>
              <w:left w:val="nil"/>
              <w:bottom w:val="single" w:sz="4" w:space="0" w:color="auto"/>
              <w:right w:val="single" w:sz="4" w:space="0" w:color="auto"/>
            </w:tcBorders>
            <w:shd w:val="clear" w:color="auto" w:fill="auto"/>
            <w:noWrap/>
            <w:vAlign w:val="center"/>
            <w:hideMark/>
          </w:tcPr>
          <w:p w14:paraId="751B39F3" w14:textId="77777777" w:rsidR="00B90520" w:rsidRPr="005B77DD" w:rsidRDefault="00B90520" w:rsidP="00460015">
            <w:pPr>
              <w:jc w:val="right"/>
              <w:rPr>
                <w:rFonts w:ascii="Arial" w:eastAsia="Times New Roman" w:hAnsi="Arial" w:cs="Arial"/>
                <w:color w:val="000000"/>
                <w:sz w:val="16"/>
                <w:szCs w:val="16"/>
              </w:rPr>
            </w:pPr>
            <w:r w:rsidRPr="005B77DD">
              <w:rPr>
                <w:rFonts w:ascii="Arial" w:eastAsia="Times New Roman" w:hAnsi="Arial" w:cs="Arial"/>
                <w:color w:val="000000"/>
                <w:sz w:val="16"/>
                <w:szCs w:val="16"/>
              </w:rPr>
              <w:t>$18,669,189.08</w:t>
            </w:r>
          </w:p>
        </w:tc>
        <w:tc>
          <w:tcPr>
            <w:tcW w:w="280" w:type="dxa"/>
            <w:tcBorders>
              <w:top w:val="nil"/>
              <w:left w:val="nil"/>
              <w:bottom w:val="nil"/>
              <w:right w:val="nil"/>
            </w:tcBorders>
            <w:shd w:val="clear" w:color="auto" w:fill="auto"/>
            <w:noWrap/>
            <w:vAlign w:val="center"/>
            <w:hideMark/>
          </w:tcPr>
          <w:p w14:paraId="308B0974" w14:textId="77777777" w:rsidR="00B90520" w:rsidRPr="005B77DD" w:rsidRDefault="00B90520" w:rsidP="00460015">
            <w:pPr>
              <w:jc w:val="right"/>
              <w:rPr>
                <w:rFonts w:ascii="Arial" w:eastAsia="Times New Roman" w:hAnsi="Arial" w:cs="Arial"/>
                <w:color w:val="000000"/>
                <w:sz w:val="16"/>
                <w:szCs w:val="16"/>
              </w:rPr>
            </w:pPr>
          </w:p>
        </w:tc>
        <w:tc>
          <w:tcPr>
            <w:tcW w:w="1557" w:type="dxa"/>
            <w:tcBorders>
              <w:top w:val="nil"/>
              <w:left w:val="nil"/>
              <w:bottom w:val="nil"/>
              <w:right w:val="nil"/>
            </w:tcBorders>
            <w:shd w:val="clear" w:color="auto" w:fill="auto"/>
            <w:noWrap/>
            <w:vAlign w:val="center"/>
            <w:hideMark/>
          </w:tcPr>
          <w:p w14:paraId="60F66973" w14:textId="77777777" w:rsidR="00B90520" w:rsidRPr="005B77DD" w:rsidRDefault="00B90520" w:rsidP="00460015">
            <w:pPr>
              <w:rPr>
                <w:rFonts w:ascii="Times New Roman" w:eastAsia="Times New Roman" w:hAnsi="Times New Roman" w:cs="Times New Roman"/>
                <w:sz w:val="20"/>
                <w:szCs w:val="20"/>
              </w:rPr>
            </w:pPr>
          </w:p>
        </w:tc>
        <w:tc>
          <w:tcPr>
            <w:tcW w:w="1423" w:type="dxa"/>
            <w:gridSpan w:val="2"/>
            <w:tcBorders>
              <w:top w:val="nil"/>
              <w:left w:val="nil"/>
              <w:bottom w:val="nil"/>
              <w:right w:val="nil"/>
            </w:tcBorders>
            <w:shd w:val="clear" w:color="auto" w:fill="auto"/>
            <w:noWrap/>
            <w:vAlign w:val="center"/>
            <w:hideMark/>
          </w:tcPr>
          <w:p w14:paraId="68385776" w14:textId="77777777" w:rsidR="00B90520" w:rsidRPr="005B77DD" w:rsidRDefault="00B90520" w:rsidP="00460015">
            <w:pPr>
              <w:rPr>
                <w:rFonts w:ascii="Times New Roman" w:eastAsia="Times New Roman" w:hAnsi="Times New Roman" w:cs="Times New Roman"/>
                <w:sz w:val="20"/>
                <w:szCs w:val="20"/>
              </w:rPr>
            </w:pPr>
          </w:p>
        </w:tc>
      </w:tr>
      <w:tr w:rsidR="00B90520" w:rsidRPr="005B77DD" w14:paraId="4036CDE9" w14:textId="77777777" w:rsidTr="00460015">
        <w:trPr>
          <w:trHeight w:val="274"/>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570878D5" w14:textId="77777777" w:rsidR="00B90520" w:rsidRPr="005B77DD" w:rsidRDefault="00B90520" w:rsidP="00460015">
            <w:pPr>
              <w:rPr>
                <w:rFonts w:ascii="Arial" w:eastAsia="Times New Roman" w:hAnsi="Arial" w:cs="Arial"/>
                <w:color w:val="000000"/>
                <w:sz w:val="16"/>
                <w:szCs w:val="16"/>
              </w:rPr>
            </w:pPr>
            <w:r w:rsidRPr="005B77DD">
              <w:rPr>
                <w:rFonts w:ascii="Arial" w:eastAsia="Times New Roman" w:hAnsi="Arial" w:cs="Arial"/>
                <w:color w:val="000000"/>
                <w:sz w:val="16"/>
                <w:szCs w:val="16"/>
              </w:rPr>
              <w:t>FY 00-01</w:t>
            </w:r>
          </w:p>
        </w:tc>
        <w:tc>
          <w:tcPr>
            <w:tcW w:w="1559" w:type="dxa"/>
            <w:tcBorders>
              <w:top w:val="nil"/>
              <w:left w:val="nil"/>
              <w:bottom w:val="single" w:sz="4" w:space="0" w:color="auto"/>
              <w:right w:val="single" w:sz="4" w:space="0" w:color="auto"/>
            </w:tcBorders>
            <w:shd w:val="clear" w:color="auto" w:fill="auto"/>
            <w:noWrap/>
            <w:vAlign w:val="center"/>
            <w:hideMark/>
          </w:tcPr>
          <w:p w14:paraId="7B106EBF" w14:textId="77777777" w:rsidR="00B90520" w:rsidRPr="005B77DD" w:rsidRDefault="00B90520" w:rsidP="00460015">
            <w:pPr>
              <w:jc w:val="right"/>
              <w:rPr>
                <w:rFonts w:ascii="Arial" w:eastAsia="Times New Roman" w:hAnsi="Arial" w:cs="Arial"/>
                <w:color w:val="000000"/>
                <w:sz w:val="16"/>
                <w:szCs w:val="16"/>
              </w:rPr>
            </w:pPr>
            <w:r w:rsidRPr="005B77DD">
              <w:rPr>
                <w:rFonts w:ascii="Arial" w:eastAsia="Times New Roman" w:hAnsi="Arial" w:cs="Arial"/>
                <w:color w:val="000000"/>
                <w:sz w:val="16"/>
                <w:szCs w:val="16"/>
              </w:rPr>
              <w:t>$36,158,347.48</w:t>
            </w:r>
          </w:p>
        </w:tc>
        <w:tc>
          <w:tcPr>
            <w:tcW w:w="280" w:type="dxa"/>
            <w:tcBorders>
              <w:top w:val="nil"/>
              <w:left w:val="nil"/>
              <w:bottom w:val="nil"/>
              <w:right w:val="nil"/>
            </w:tcBorders>
            <w:shd w:val="clear" w:color="auto" w:fill="auto"/>
            <w:noWrap/>
            <w:vAlign w:val="center"/>
            <w:hideMark/>
          </w:tcPr>
          <w:p w14:paraId="4075A0C1" w14:textId="77777777" w:rsidR="00B90520" w:rsidRPr="005B77DD" w:rsidRDefault="00B90520" w:rsidP="00460015">
            <w:pPr>
              <w:jc w:val="right"/>
              <w:rPr>
                <w:rFonts w:ascii="Arial" w:eastAsia="Times New Roman" w:hAnsi="Arial" w:cs="Arial"/>
                <w:color w:val="000000"/>
                <w:sz w:val="16"/>
                <w:szCs w:val="16"/>
              </w:rPr>
            </w:pPr>
          </w:p>
        </w:tc>
        <w:tc>
          <w:tcPr>
            <w:tcW w:w="1557" w:type="dxa"/>
            <w:tcBorders>
              <w:top w:val="nil"/>
              <w:left w:val="nil"/>
              <w:bottom w:val="nil"/>
              <w:right w:val="nil"/>
            </w:tcBorders>
            <w:shd w:val="clear" w:color="auto" w:fill="auto"/>
            <w:noWrap/>
            <w:vAlign w:val="center"/>
            <w:hideMark/>
          </w:tcPr>
          <w:p w14:paraId="7BA4E041" w14:textId="77777777" w:rsidR="00B90520" w:rsidRPr="005B77DD" w:rsidRDefault="00B90520" w:rsidP="00460015">
            <w:pPr>
              <w:rPr>
                <w:rFonts w:ascii="Times New Roman" w:eastAsia="Times New Roman" w:hAnsi="Times New Roman" w:cs="Times New Roman"/>
                <w:sz w:val="20"/>
                <w:szCs w:val="20"/>
              </w:rPr>
            </w:pPr>
          </w:p>
        </w:tc>
        <w:tc>
          <w:tcPr>
            <w:tcW w:w="1423" w:type="dxa"/>
            <w:gridSpan w:val="2"/>
            <w:tcBorders>
              <w:top w:val="nil"/>
              <w:left w:val="nil"/>
              <w:bottom w:val="nil"/>
              <w:right w:val="nil"/>
            </w:tcBorders>
            <w:shd w:val="clear" w:color="auto" w:fill="auto"/>
            <w:noWrap/>
            <w:vAlign w:val="center"/>
            <w:hideMark/>
          </w:tcPr>
          <w:p w14:paraId="7F3C1D23" w14:textId="77777777" w:rsidR="00B90520" w:rsidRPr="005B77DD" w:rsidRDefault="00B90520" w:rsidP="00460015">
            <w:pPr>
              <w:rPr>
                <w:rFonts w:ascii="Times New Roman" w:eastAsia="Times New Roman" w:hAnsi="Times New Roman" w:cs="Times New Roman"/>
                <w:sz w:val="20"/>
                <w:szCs w:val="20"/>
              </w:rPr>
            </w:pPr>
          </w:p>
        </w:tc>
      </w:tr>
      <w:tr w:rsidR="00B90520" w:rsidRPr="005B77DD" w14:paraId="5394CD75" w14:textId="77777777" w:rsidTr="00460015">
        <w:trPr>
          <w:trHeight w:val="274"/>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118649C6" w14:textId="77777777" w:rsidR="00B90520" w:rsidRPr="005B77DD" w:rsidRDefault="00B90520" w:rsidP="00460015">
            <w:pPr>
              <w:rPr>
                <w:rFonts w:ascii="Arial" w:eastAsia="Times New Roman" w:hAnsi="Arial" w:cs="Arial"/>
                <w:color w:val="000000"/>
                <w:sz w:val="16"/>
                <w:szCs w:val="16"/>
              </w:rPr>
            </w:pPr>
            <w:r w:rsidRPr="005B77DD">
              <w:rPr>
                <w:rFonts w:ascii="Arial" w:eastAsia="Times New Roman" w:hAnsi="Arial" w:cs="Arial"/>
                <w:color w:val="000000"/>
                <w:sz w:val="16"/>
                <w:szCs w:val="16"/>
              </w:rPr>
              <w:t>FY 01-02</w:t>
            </w:r>
          </w:p>
        </w:tc>
        <w:tc>
          <w:tcPr>
            <w:tcW w:w="1559" w:type="dxa"/>
            <w:tcBorders>
              <w:top w:val="nil"/>
              <w:left w:val="nil"/>
              <w:bottom w:val="single" w:sz="4" w:space="0" w:color="auto"/>
              <w:right w:val="single" w:sz="4" w:space="0" w:color="auto"/>
            </w:tcBorders>
            <w:shd w:val="clear" w:color="auto" w:fill="auto"/>
            <w:noWrap/>
            <w:vAlign w:val="center"/>
            <w:hideMark/>
          </w:tcPr>
          <w:p w14:paraId="67C8FA82" w14:textId="77777777" w:rsidR="00B90520" w:rsidRPr="005B77DD" w:rsidRDefault="00B90520" w:rsidP="00460015">
            <w:pPr>
              <w:jc w:val="right"/>
              <w:rPr>
                <w:rFonts w:ascii="Arial" w:eastAsia="Times New Roman" w:hAnsi="Arial" w:cs="Arial"/>
                <w:color w:val="000000"/>
                <w:sz w:val="16"/>
                <w:szCs w:val="16"/>
              </w:rPr>
            </w:pPr>
            <w:r w:rsidRPr="005B77DD">
              <w:rPr>
                <w:rFonts w:ascii="Arial" w:eastAsia="Times New Roman" w:hAnsi="Arial" w:cs="Arial"/>
                <w:color w:val="000000"/>
                <w:sz w:val="16"/>
                <w:szCs w:val="16"/>
              </w:rPr>
              <w:t>$19,731,662.42</w:t>
            </w:r>
          </w:p>
        </w:tc>
        <w:tc>
          <w:tcPr>
            <w:tcW w:w="280" w:type="dxa"/>
            <w:tcBorders>
              <w:top w:val="nil"/>
              <w:left w:val="nil"/>
              <w:bottom w:val="nil"/>
              <w:right w:val="nil"/>
            </w:tcBorders>
            <w:shd w:val="clear" w:color="auto" w:fill="auto"/>
            <w:noWrap/>
            <w:vAlign w:val="center"/>
            <w:hideMark/>
          </w:tcPr>
          <w:p w14:paraId="243F354E" w14:textId="77777777" w:rsidR="00B90520" w:rsidRPr="005B77DD" w:rsidRDefault="00B90520" w:rsidP="00460015">
            <w:pPr>
              <w:jc w:val="right"/>
              <w:rPr>
                <w:rFonts w:ascii="Arial" w:eastAsia="Times New Roman" w:hAnsi="Arial" w:cs="Arial"/>
                <w:color w:val="000000"/>
                <w:sz w:val="16"/>
                <w:szCs w:val="16"/>
              </w:rPr>
            </w:pPr>
          </w:p>
        </w:tc>
        <w:tc>
          <w:tcPr>
            <w:tcW w:w="1557" w:type="dxa"/>
            <w:tcBorders>
              <w:top w:val="nil"/>
              <w:left w:val="nil"/>
              <w:bottom w:val="nil"/>
              <w:right w:val="nil"/>
            </w:tcBorders>
            <w:shd w:val="clear" w:color="auto" w:fill="auto"/>
            <w:noWrap/>
            <w:vAlign w:val="center"/>
            <w:hideMark/>
          </w:tcPr>
          <w:p w14:paraId="27ECB047" w14:textId="77777777" w:rsidR="00B90520" w:rsidRPr="005B77DD" w:rsidRDefault="00B90520" w:rsidP="00460015">
            <w:pPr>
              <w:rPr>
                <w:rFonts w:ascii="Times New Roman" w:eastAsia="Times New Roman" w:hAnsi="Times New Roman" w:cs="Times New Roman"/>
                <w:sz w:val="20"/>
                <w:szCs w:val="20"/>
              </w:rPr>
            </w:pPr>
          </w:p>
        </w:tc>
        <w:tc>
          <w:tcPr>
            <w:tcW w:w="1423" w:type="dxa"/>
            <w:gridSpan w:val="2"/>
            <w:tcBorders>
              <w:top w:val="nil"/>
              <w:left w:val="nil"/>
              <w:bottom w:val="nil"/>
              <w:right w:val="nil"/>
            </w:tcBorders>
            <w:shd w:val="clear" w:color="auto" w:fill="auto"/>
            <w:noWrap/>
            <w:vAlign w:val="center"/>
            <w:hideMark/>
          </w:tcPr>
          <w:p w14:paraId="3E335D73" w14:textId="77777777" w:rsidR="00B90520" w:rsidRPr="005B77DD" w:rsidRDefault="00B90520" w:rsidP="00460015">
            <w:pPr>
              <w:rPr>
                <w:rFonts w:ascii="Times New Roman" w:eastAsia="Times New Roman" w:hAnsi="Times New Roman" w:cs="Times New Roman"/>
                <w:sz w:val="20"/>
                <w:szCs w:val="20"/>
              </w:rPr>
            </w:pPr>
          </w:p>
        </w:tc>
      </w:tr>
      <w:tr w:rsidR="00B90520" w:rsidRPr="005B77DD" w14:paraId="40C3424E" w14:textId="77777777" w:rsidTr="00460015">
        <w:trPr>
          <w:trHeight w:val="274"/>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0E9AE2B0" w14:textId="77777777" w:rsidR="00B90520" w:rsidRPr="005B77DD" w:rsidRDefault="00B90520" w:rsidP="00460015">
            <w:pPr>
              <w:rPr>
                <w:rFonts w:ascii="Arial" w:eastAsia="Times New Roman" w:hAnsi="Arial" w:cs="Arial"/>
                <w:color w:val="000000"/>
                <w:sz w:val="16"/>
                <w:szCs w:val="16"/>
              </w:rPr>
            </w:pPr>
            <w:r w:rsidRPr="005B77DD">
              <w:rPr>
                <w:rFonts w:ascii="Arial" w:eastAsia="Times New Roman" w:hAnsi="Arial" w:cs="Arial"/>
                <w:color w:val="000000"/>
                <w:sz w:val="16"/>
                <w:szCs w:val="16"/>
              </w:rPr>
              <w:t>FY 02-03</w:t>
            </w:r>
          </w:p>
        </w:tc>
        <w:tc>
          <w:tcPr>
            <w:tcW w:w="1559" w:type="dxa"/>
            <w:tcBorders>
              <w:top w:val="nil"/>
              <w:left w:val="nil"/>
              <w:bottom w:val="single" w:sz="4" w:space="0" w:color="auto"/>
              <w:right w:val="single" w:sz="4" w:space="0" w:color="auto"/>
            </w:tcBorders>
            <w:shd w:val="clear" w:color="auto" w:fill="auto"/>
            <w:noWrap/>
            <w:vAlign w:val="center"/>
            <w:hideMark/>
          </w:tcPr>
          <w:p w14:paraId="66F743F7" w14:textId="77777777" w:rsidR="00B90520" w:rsidRPr="005B77DD" w:rsidRDefault="00B90520" w:rsidP="00460015">
            <w:pPr>
              <w:jc w:val="right"/>
              <w:rPr>
                <w:rFonts w:ascii="Arial" w:eastAsia="Times New Roman" w:hAnsi="Arial" w:cs="Arial"/>
                <w:color w:val="000000"/>
                <w:sz w:val="16"/>
                <w:szCs w:val="16"/>
              </w:rPr>
            </w:pPr>
            <w:r w:rsidRPr="005B77DD">
              <w:rPr>
                <w:rFonts w:ascii="Arial" w:eastAsia="Times New Roman" w:hAnsi="Arial" w:cs="Arial"/>
                <w:color w:val="000000"/>
                <w:sz w:val="16"/>
                <w:szCs w:val="16"/>
              </w:rPr>
              <w:t>$18,747,663.06</w:t>
            </w:r>
          </w:p>
        </w:tc>
        <w:tc>
          <w:tcPr>
            <w:tcW w:w="280" w:type="dxa"/>
            <w:tcBorders>
              <w:top w:val="nil"/>
              <w:left w:val="nil"/>
              <w:bottom w:val="nil"/>
              <w:right w:val="nil"/>
            </w:tcBorders>
            <w:shd w:val="clear" w:color="auto" w:fill="auto"/>
            <w:noWrap/>
            <w:vAlign w:val="center"/>
            <w:hideMark/>
          </w:tcPr>
          <w:p w14:paraId="36F74641" w14:textId="77777777" w:rsidR="00B90520" w:rsidRPr="005B77DD" w:rsidRDefault="00B90520" w:rsidP="00460015">
            <w:pPr>
              <w:jc w:val="right"/>
              <w:rPr>
                <w:rFonts w:ascii="Arial" w:eastAsia="Times New Roman" w:hAnsi="Arial" w:cs="Arial"/>
                <w:color w:val="000000"/>
                <w:sz w:val="16"/>
                <w:szCs w:val="16"/>
              </w:rPr>
            </w:pPr>
          </w:p>
        </w:tc>
        <w:tc>
          <w:tcPr>
            <w:tcW w:w="1557" w:type="dxa"/>
            <w:tcBorders>
              <w:top w:val="nil"/>
              <w:left w:val="nil"/>
              <w:bottom w:val="nil"/>
              <w:right w:val="nil"/>
            </w:tcBorders>
            <w:shd w:val="clear" w:color="auto" w:fill="auto"/>
            <w:noWrap/>
            <w:vAlign w:val="center"/>
            <w:hideMark/>
          </w:tcPr>
          <w:p w14:paraId="474EF831" w14:textId="77777777" w:rsidR="00B90520" w:rsidRPr="005B77DD" w:rsidRDefault="00B90520" w:rsidP="00460015">
            <w:pPr>
              <w:rPr>
                <w:rFonts w:ascii="Times New Roman" w:eastAsia="Times New Roman" w:hAnsi="Times New Roman" w:cs="Times New Roman"/>
                <w:sz w:val="20"/>
                <w:szCs w:val="20"/>
              </w:rPr>
            </w:pPr>
          </w:p>
        </w:tc>
        <w:tc>
          <w:tcPr>
            <w:tcW w:w="1423" w:type="dxa"/>
            <w:gridSpan w:val="2"/>
            <w:tcBorders>
              <w:top w:val="nil"/>
              <w:left w:val="nil"/>
              <w:bottom w:val="nil"/>
              <w:right w:val="nil"/>
            </w:tcBorders>
            <w:shd w:val="clear" w:color="auto" w:fill="auto"/>
            <w:noWrap/>
            <w:vAlign w:val="center"/>
            <w:hideMark/>
          </w:tcPr>
          <w:p w14:paraId="3B943BB4" w14:textId="77777777" w:rsidR="00B90520" w:rsidRPr="005B77DD" w:rsidRDefault="00B90520" w:rsidP="00460015">
            <w:pPr>
              <w:rPr>
                <w:rFonts w:ascii="Times New Roman" w:eastAsia="Times New Roman" w:hAnsi="Times New Roman" w:cs="Times New Roman"/>
                <w:sz w:val="20"/>
                <w:szCs w:val="20"/>
              </w:rPr>
            </w:pPr>
          </w:p>
        </w:tc>
      </w:tr>
      <w:tr w:rsidR="00B90520" w:rsidRPr="005B77DD" w14:paraId="0C70302B" w14:textId="77777777" w:rsidTr="00460015">
        <w:trPr>
          <w:trHeight w:val="274"/>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1DD382FB" w14:textId="77777777" w:rsidR="00B90520" w:rsidRPr="005B77DD" w:rsidRDefault="00B90520" w:rsidP="00460015">
            <w:pPr>
              <w:rPr>
                <w:rFonts w:ascii="Arial" w:eastAsia="Times New Roman" w:hAnsi="Arial" w:cs="Arial"/>
                <w:color w:val="000000"/>
                <w:sz w:val="16"/>
                <w:szCs w:val="16"/>
              </w:rPr>
            </w:pPr>
            <w:r w:rsidRPr="005B77DD">
              <w:rPr>
                <w:rFonts w:ascii="Arial" w:eastAsia="Times New Roman" w:hAnsi="Arial" w:cs="Arial"/>
                <w:color w:val="000000"/>
                <w:sz w:val="16"/>
                <w:szCs w:val="16"/>
              </w:rPr>
              <w:t>FY 03-04</w:t>
            </w:r>
          </w:p>
        </w:tc>
        <w:tc>
          <w:tcPr>
            <w:tcW w:w="1559" w:type="dxa"/>
            <w:tcBorders>
              <w:top w:val="nil"/>
              <w:left w:val="nil"/>
              <w:bottom w:val="single" w:sz="4" w:space="0" w:color="auto"/>
              <w:right w:val="single" w:sz="4" w:space="0" w:color="auto"/>
            </w:tcBorders>
            <w:shd w:val="clear" w:color="auto" w:fill="auto"/>
            <w:noWrap/>
            <w:vAlign w:val="center"/>
            <w:hideMark/>
          </w:tcPr>
          <w:p w14:paraId="56548616" w14:textId="77777777" w:rsidR="00B90520" w:rsidRPr="005B77DD" w:rsidRDefault="00B90520" w:rsidP="00460015">
            <w:pPr>
              <w:jc w:val="right"/>
              <w:rPr>
                <w:rFonts w:ascii="Arial" w:eastAsia="Times New Roman" w:hAnsi="Arial" w:cs="Arial"/>
                <w:color w:val="000000"/>
                <w:sz w:val="16"/>
                <w:szCs w:val="16"/>
              </w:rPr>
            </w:pPr>
            <w:r w:rsidRPr="005B77DD">
              <w:rPr>
                <w:rFonts w:ascii="Arial" w:eastAsia="Times New Roman" w:hAnsi="Arial" w:cs="Arial"/>
                <w:color w:val="000000"/>
                <w:sz w:val="16"/>
                <w:szCs w:val="16"/>
              </w:rPr>
              <w:t>$36,123,591.56</w:t>
            </w:r>
          </w:p>
        </w:tc>
        <w:tc>
          <w:tcPr>
            <w:tcW w:w="280" w:type="dxa"/>
            <w:tcBorders>
              <w:top w:val="nil"/>
              <w:left w:val="nil"/>
              <w:bottom w:val="nil"/>
              <w:right w:val="nil"/>
            </w:tcBorders>
            <w:shd w:val="clear" w:color="auto" w:fill="auto"/>
            <w:noWrap/>
            <w:vAlign w:val="center"/>
            <w:hideMark/>
          </w:tcPr>
          <w:p w14:paraId="03A8EEF6" w14:textId="77777777" w:rsidR="00B90520" w:rsidRPr="005B77DD" w:rsidRDefault="00B90520" w:rsidP="00460015">
            <w:pPr>
              <w:jc w:val="right"/>
              <w:rPr>
                <w:rFonts w:ascii="Arial" w:eastAsia="Times New Roman" w:hAnsi="Arial" w:cs="Arial"/>
                <w:color w:val="000000"/>
                <w:sz w:val="16"/>
                <w:szCs w:val="16"/>
              </w:rPr>
            </w:pPr>
          </w:p>
        </w:tc>
        <w:tc>
          <w:tcPr>
            <w:tcW w:w="1557" w:type="dxa"/>
            <w:tcBorders>
              <w:top w:val="nil"/>
              <w:left w:val="nil"/>
              <w:bottom w:val="nil"/>
              <w:right w:val="nil"/>
            </w:tcBorders>
            <w:shd w:val="clear" w:color="auto" w:fill="auto"/>
            <w:noWrap/>
            <w:vAlign w:val="center"/>
            <w:hideMark/>
          </w:tcPr>
          <w:p w14:paraId="02E3F53D" w14:textId="77777777" w:rsidR="00B90520" w:rsidRPr="005B77DD" w:rsidRDefault="00B90520" w:rsidP="00460015">
            <w:pPr>
              <w:rPr>
                <w:rFonts w:ascii="Times New Roman" w:eastAsia="Times New Roman" w:hAnsi="Times New Roman" w:cs="Times New Roman"/>
                <w:sz w:val="20"/>
                <w:szCs w:val="20"/>
              </w:rPr>
            </w:pPr>
          </w:p>
        </w:tc>
        <w:tc>
          <w:tcPr>
            <w:tcW w:w="1423" w:type="dxa"/>
            <w:gridSpan w:val="2"/>
            <w:tcBorders>
              <w:top w:val="nil"/>
              <w:left w:val="nil"/>
              <w:bottom w:val="nil"/>
              <w:right w:val="nil"/>
            </w:tcBorders>
            <w:shd w:val="clear" w:color="auto" w:fill="auto"/>
            <w:noWrap/>
            <w:vAlign w:val="center"/>
            <w:hideMark/>
          </w:tcPr>
          <w:p w14:paraId="7E43DC87" w14:textId="77777777" w:rsidR="00B90520" w:rsidRPr="005B77DD" w:rsidRDefault="00B90520" w:rsidP="00460015">
            <w:pPr>
              <w:rPr>
                <w:rFonts w:ascii="Times New Roman" w:eastAsia="Times New Roman" w:hAnsi="Times New Roman" w:cs="Times New Roman"/>
                <w:sz w:val="20"/>
                <w:szCs w:val="20"/>
              </w:rPr>
            </w:pPr>
          </w:p>
        </w:tc>
      </w:tr>
      <w:tr w:rsidR="00B90520" w:rsidRPr="005B77DD" w14:paraId="6C12DEF6" w14:textId="77777777" w:rsidTr="00460015">
        <w:trPr>
          <w:trHeight w:val="274"/>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46F4953F" w14:textId="77777777" w:rsidR="00B90520" w:rsidRPr="005B77DD" w:rsidRDefault="00B90520" w:rsidP="00460015">
            <w:pPr>
              <w:rPr>
                <w:rFonts w:ascii="Arial" w:eastAsia="Times New Roman" w:hAnsi="Arial" w:cs="Arial"/>
                <w:color w:val="000000"/>
                <w:sz w:val="16"/>
                <w:szCs w:val="16"/>
              </w:rPr>
            </w:pPr>
            <w:r w:rsidRPr="005B77DD">
              <w:rPr>
                <w:rFonts w:ascii="Arial" w:eastAsia="Times New Roman" w:hAnsi="Arial" w:cs="Arial"/>
                <w:color w:val="000000"/>
                <w:sz w:val="16"/>
                <w:szCs w:val="16"/>
              </w:rPr>
              <w:t>FY 04-05</w:t>
            </w:r>
          </w:p>
        </w:tc>
        <w:tc>
          <w:tcPr>
            <w:tcW w:w="1559" w:type="dxa"/>
            <w:tcBorders>
              <w:top w:val="nil"/>
              <w:left w:val="nil"/>
              <w:bottom w:val="single" w:sz="4" w:space="0" w:color="auto"/>
              <w:right w:val="single" w:sz="4" w:space="0" w:color="auto"/>
            </w:tcBorders>
            <w:shd w:val="clear" w:color="auto" w:fill="auto"/>
            <w:noWrap/>
            <w:vAlign w:val="center"/>
            <w:hideMark/>
          </w:tcPr>
          <w:p w14:paraId="300E717F" w14:textId="77777777" w:rsidR="00B90520" w:rsidRPr="005B77DD" w:rsidRDefault="00B90520" w:rsidP="00460015">
            <w:pPr>
              <w:jc w:val="right"/>
              <w:rPr>
                <w:rFonts w:ascii="Arial" w:eastAsia="Times New Roman" w:hAnsi="Arial" w:cs="Arial"/>
                <w:color w:val="000000"/>
                <w:sz w:val="16"/>
                <w:szCs w:val="16"/>
              </w:rPr>
            </w:pPr>
            <w:r w:rsidRPr="005B77DD">
              <w:rPr>
                <w:rFonts w:ascii="Arial" w:eastAsia="Times New Roman" w:hAnsi="Arial" w:cs="Arial"/>
                <w:color w:val="000000"/>
                <w:sz w:val="16"/>
                <w:szCs w:val="16"/>
              </w:rPr>
              <w:t>$35,870,401.53</w:t>
            </w:r>
          </w:p>
        </w:tc>
        <w:tc>
          <w:tcPr>
            <w:tcW w:w="280" w:type="dxa"/>
            <w:tcBorders>
              <w:top w:val="nil"/>
              <w:left w:val="nil"/>
              <w:bottom w:val="nil"/>
              <w:right w:val="nil"/>
            </w:tcBorders>
            <w:shd w:val="clear" w:color="auto" w:fill="auto"/>
            <w:noWrap/>
            <w:vAlign w:val="center"/>
            <w:hideMark/>
          </w:tcPr>
          <w:p w14:paraId="3524E649" w14:textId="77777777" w:rsidR="00B90520" w:rsidRPr="005B77DD" w:rsidRDefault="00B90520" w:rsidP="00460015">
            <w:pPr>
              <w:jc w:val="right"/>
              <w:rPr>
                <w:rFonts w:ascii="Arial" w:eastAsia="Times New Roman" w:hAnsi="Arial" w:cs="Arial"/>
                <w:color w:val="000000"/>
                <w:sz w:val="16"/>
                <w:szCs w:val="16"/>
              </w:rPr>
            </w:pPr>
          </w:p>
        </w:tc>
        <w:tc>
          <w:tcPr>
            <w:tcW w:w="1557" w:type="dxa"/>
            <w:tcBorders>
              <w:top w:val="nil"/>
              <w:left w:val="nil"/>
              <w:bottom w:val="nil"/>
              <w:right w:val="nil"/>
            </w:tcBorders>
            <w:shd w:val="clear" w:color="auto" w:fill="auto"/>
            <w:noWrap/>
            <w:vAlign w:val="center"/>
            <w:hideMark/>
          </w:tcPr>
          <w:p w14:paraId="63A34D7E" w14:textId="77777777" w:rsidR="00B90520" w:rsidRPr="005B77DD" w:rsidRDefault="00B90520" w:rsidP="00460015">
            <w:pPr>
              <w:rPr>
                <w:rFonts w:ascii="Times New Roman" w:eastAsia="Times New Roman" w:hAnsi="Times New Roman" w:cs="Times New Roman"/>
                <w:sz w:val="20"/>
                <w:szCs w:val="20"/>
              </w:rPr>
            </w:pPr>
          </w:p>
        </w:tc>
        <w:tc>
          <w:tcPr>
            <w:tcW w:w="1423" w:type="dxa"/>
            <w:gridSpan w:val="2"/>
            <w:tcBorders>
              <w:top w:val="nil"/>
              <w:left w:val="nil"/>
              <w:bottom w:val="nil"/>
              <w:right w:val="nil"/>
            </w:tcBorders>
            <w:shd w:val="clear" w:color="auto" w:fill="auto"/>
            <w:noWrap/>
            <w:vAlign w:val="center"/>
            <w:hideMark/>
          </w:tcPr>
          <w:p w14:paraId="0AE0C5D9" w14:textId="77777777" w:rsidR="00B90520" w:rsidRPr="005B77DD" w:rsidRDefault="00B90520" w:rsidP="00460015">
            <w:pPr>
              <w:rPr>
                <w:rFonts w:ascii="Times New Roman" w:eastAsia="Times New Roman" w:hAnsi="Times New Roman" w:cs="Times New Roman"/>
                <w:sz w:val="20"/>
                <w:szCs w:val="20"/>
              </w:rPr>
            </w:pPr>
          </w:p>
        </w:tc>
      </w:tr>
      <w:tr w:rsidR="00B90520" w:rsidRPr="005B77DD" w14:paraId="005484D8" w14:textId="77777777" w:rsidTr="00460015">
        <w:trPr>
          <w:trHeight w:val="274"/>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2B0067FF" w14:textId="77777777" w:rsidR="00B90520" w:rsidRPr="005B77DD" w:rsidRDefault="00B90520" w:rsidP="00460015">
            <w:pPr>
              <w:rPr>
                <w:rFonts w:ascii="Arial" w:eastAsia="Times New Roman" w:hAnsi="Arial" w:cs="Arial"/>
                <w:color w:val="000000"/>
                <w:sz w:val="16"/>
                <w:szCs w:val="16"/>
              </w:rPr>
            </w:pPr>
            <w:r w:rsidRPr="005B77DD">
              <w:rPr>
                <w:rFonts w:ascii="Arial" w:eastAsia="Times New Roman" w:hAnsi="Arial" w:cs="Arial"/>
                <w:color w:val="000000"/>
                <w:sz w:val="16"/>
                <w:szCs w:val="16"/>
              </w:rPr>
              <w:t>FY 05-06</w:t>
            </w:r>
          </w:p>
        </w:tc>
        <w:tc>
          <w:tcPr>
            <w:tcW w:w="1559" w:type="dxa"/>
            <w:tcBorders>
              <w:top w:val="nil"/>
              <w:left w:val="nil"/>
              <w:bottom w:val="single" w:sz="4" w:space="0" w:color="auto"/>
              <w:right w:val="single" w:sz="4" w:space="0" w:color="auto"/>
            </w:tcBorders>
            <w:shd w:val="clear" w:color="auto" w:fill="auto"/>
            <w:noWrap/>
            <w:vAlign w:val="center"/>
            <w:hideMark/>
          </w:tcPr>
          <w:p w14:paraId="49A27961" w14:textId="77777777" w:rsidR="00B90520" w:rsidRPr="005B77DD" w:rsidRDefault="00B90520" w:rsidP="00460015">
            <w:pPr>
              <w:jc w:val="right"/>
              <w:rPr>
                <w:rFonts w:ascii="Arial" w:eastAsia="Times New Roman" w:hAnsi="Arial" w:cs="Arial"/>
                <w:color w:val="000000"/>
                <w:sz w:val="16"/>
                <w:szCs w:val="16"/>
              </w:rPr>
            </w:pPr>
            <w:r w:rsidRPr="005B77DD">
              <w:rPr>
                <w:rFonts w:ascii="Arial" w:eastAsia="Times New Roman" w:hAnsi="Arial" w:cs="Arial"/>
                <w:color w:val="000000"/>
                <w:sz w:val="16"/>
                <w:szCs w:val="16"/>
              </w:rPr>
              <w:t>$28,535,487.76</w:t>
            </w:r>
          </w:p>
        </w:tc>
        <w:tc>
          <w:tcPr>
            <w:tcW w:w="280" w:type="dxa"/>
            <w:tcBorders>
              <w:top w:val="nil"/>
              <w:left w:val="nil"/>
              <w:bottom w:val="nil"/>
              <w:right w:val="nil"/>
            </w:tcBorders>
            <w:shd w:val="clear" w:color="auto" w:fill="auto"/>
            <w:noWrap/>
            <w:vAlign w:val="center"/>
            <w:hideMark/>
          </w:tcPr>
          <w:p w14:paraId="79174C9C" w14:textId="77777777" w:rsidR="00B90520" w:rsidRPr="005B77DD" w:rsidRDefault="00B90520" w:rsidP="00460015">
            <w:pPr>
              <w:jc w:val="right"/>
              <w:rPr>
                <w:rFonts w:ascii="Arial" w:eastAsia="Times New Roman" w:hAnsi="Arial" w:cs="Arial"/>
                <w:color w:val="000000"/>
                <w:sz w:val="16"/>
                <w:szCs w:val="16"/>
              </w:rPr>
            </w:pPr>
          </w:p>
        </w:tc>
        <w:tc>
          <w:tcPr>
            <w:tcW w:w="1557" w:type="dxa"/>
            <w:tcBorders>
              <w:top w:val="nil"/>
              <w:left w:val="nil"/>
              <w:bottom w:val="nil"/>
              <w:right w:val="nil"/>
            </w:tcBorders>
            <w:shd w:val="clear" w:color="auto" w:fill="auto"/>
            <w:noWrap/>
            <w:vAlign w:val="center"/>
            <w:hideMark/>
          </w:tcPr>
          <w:p w14:paraId="0DE2FCBA" w14:textId="77777777" w:rsidR="00B90520" w:rsidRPr="005B77DD" w:rsidRDefault="00B90520" w:rsidP="00460015">
            <w:pPr>
              <w:rPr>
                <w:rFonts w:ascii="Times New Roman" w:eastAsia="Times New Roman" w:hAnsi="Times New Roman" w:cs="Times New Roman"/>
                <w:sz w:val="20"/>
                <w:szCs w:val="20"/>
              </w:rPr>
            </w:pPr>
          </w:p>
        </w:tc>
        <w:tc>
          <w:tcPr>
            <w:tcW w:w="1423" w:type="dxa"/>
            <w:gridSpan w:val="2"/>
            <w:tcBorders>
              <w:top w:val="nil"/>
              <w:left w:val="nil"/>
              <w:bottom w:val="nil"/>
              <w:right w:val="nil"/>
            </w:tcBorders>
            <w:shd w:val="clear" w:color="auto" w:fill="auto"/>
            <w:noWrap/>
            <w:vAlign w:val="center"/>
            <w:hideMark/>
          </w:tcPr>
          <w:p w14:paraId="58062F61" w14:textId="77777777" w:rsidR="00B90520" w:rsidRPr="005B77DD" w:rsidRDefault="00B90520" w:rsidP="00460015">
            <w:pPr>
              <w:rPr>
                <w:rFonts w:ascii="Times New Roman" w:eastAsia="Times New Roman" w:hAnsi="Times New Roman" w:cs="Times New Roman"/>
                <w:sz w:val="20"/>
                <w:szCs w:val="20"/>
              </w:rPr>
            </w:pPr>
          </w:p>
        </w:tc>
      </w:tr>
      <w:tr w:rsidR="00B90520" w:rsidRPr="005B77DD" w14:paraId="4C9AD58F" w14:textId="77777777" w:rsidTr="00460015">
        <w:trPr>
          <w:trHeight w:val="274"/>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4578F576" w14:textId="77777777" w:rsidR="00B90520" w:rsidRPr="005B77DD" w:rsidRDefault="00B90520" w:rsidP="00460015">
            <w:pPr>
              <w:rPr>
                <w:rFonts w:ascii="Arial" w:eastAsia="Times New Roman" w:hAnsi="Arial" w:cs="Arial"/>
                <w:color w:val="000000"/>
                <w:sz w:val="16"/>
                <w:szCs w:val="16"/>
              </w:rPr>
            </w:pPr>
            <w:r w:rsidRPr="005B77DD">
              <w:rPr>
                <w:rFonts w:ascii="Arial" w:eastAsia="Times New Roman" w:hAnsi="Arial" w:cs="Arial"/>
                <w:color w:val="000000"/>
                <w:sz w:val="16"/>
                <w:szCs w:val="16"/>
              </w:rPr>
              <w:t>FY 06-07</w:t>
            </w:r>
          </w:p>
        </w:tc>
        <w:tc>
          <w:tcPr>
            <w:tcW w:w="1559" w:type="dxa"/>
            <w:tcBorders>
              <w:top w:val="nil"/>
              <w:left w:val="nil"/>
              <w:bottom w:val="single" w:sz="4" w:space="0" w:color="auto"/>
              <w:right w:val="single" w:sz="4" w:space="0" w:color="auto"/>
            </w:tcBorders>
            <w:shd w:val="clear" w:color="auto" w:fill="auto"/>
            <w:noWrap/>
            <w:vAlign w:val="center"/>
            <w:hideMark/>
          </w:tcPr>
          <w:p w14:paraId="4C6D830A" w14:textId="77777777" w:rsidR="00B90520" w:rsidRPr="005B77DD" w:rsidRDefault="00B90520" w:rsidP="00460015">
            <w:pPr>
              <w:jc w:val="right"/>
              <w:rPr>
                <w:rFonts w:ascii="Arial" w:eastAsia="Times New Roman" w:hAnsi="Arial" w:cs="Arial"/>
                <w:color w:val="000000"/>
                <w:sz w:val="16"/>
                <w:szCs w:val="16"/>
              </w:rPr>
            </w:pPr>
            <w:r w:rsidRPr="005B77DD">
              <w:rPr>
                <w:rFonts w:ascii="Arial" w:eastAsia="Times New Roman" w:hAnsi="Arial" w:cs="Arial"/>
                <w:color w:val="000000"/>
                <w:sz w:val="16"/>
                <w:szCs w:val="16"/>
              </w:rPr>
              <w:t>$27,586,102.04</w:t>
            </w:r>
          </w:p>
        </w:tc>
        <w:tc>
          <w:tcPr>
            <w:tcW w:w="280" w:type="dxa"/>
            <w:tcBorders>
              <w:top w:val="nil"/>
              <w:left w:val="nil"/>
              <w:bottom w:val="nil"/>
              <w:right w:val="nil"/>
            </w:tcBorders>
            <w:shd w:val="clear" w:color="auto" w:fill="auto"/>
            <w:noWrap/>
            <w:vAlign w:val="center"/>
            <w:hideMark/>
          </w:tcPr>
          <w:p w14:paraId="2048F053" w14:textId="77777777" w:rsidR="00B90520" w:rsidRPr="005B77DD" w:rsidRDefault="00B90520" w:rsidP="00460015">
            <w:pPr>
              <w:jc w:val="right"/>
              <w:rPr>
                <w:rFonts w:ascii="Arial" w:eastAsia="Times New Roman" w:hAnsi="Arial" w:cs="Arial"/>
                <w:color w:val="000000"/>
                <w:sz w:val="16"/>
                <w:szCs w:val="16"/>
              </w:rPr>
            </w:pPr>
          </w:p>
        </w:tc>
        <w:tc>
          <w:tcPr>
            <w:tcW w:w="1557" w:type="dxa"/>
            <w:tcBorders>
              <w:top w:val="nil"/>
              <w:left w:val="nil"/>
              <w:bottom w:val="nil"/>
              <w:right w:val="nil"/>
            </w:tcBorders>
            <w:shd w:val="clear" w:color="auto" w:fill="auto"/>
            <w:noWrap/>
            <w:vAlign w:val="center"/>
            <w:hideMark/>
          </w:tcPr>
          <w:p w14:paraId="293863E4" w14:textId="77777777" w:rsidR="00B90520" w:rsidRPr="005B77DD" w:rsidRDefault="00B90520" w:rsidP="00460015">
            <w:pPr>
              <w:rPr>
                <w:rFonts w:ascii="Times New Roman" w:eastAsia="Times New Roman" w:hAnsi="Times New Roman" w:cs="Times New Roman"/>
                <w:sz w:val="20"/>
                <w:szCs w:val="20"/>
              </w:rPr>
            </w:pPr>
          </w:p>
        </w:tc>
        <w:tc>
          <w:tcPr>
            <w:tcW w:w="1423" w:type="dxa"/>
            <w:gridSpan w:val="2"/>
            <w:tcBorders>
              <w:top w:val="nil"/>
              <w:left w:val="nil"/>
              <w:bottom w:val="nil"/>
              <w:right w:val="nil"/>
            </w:tcBorders>
            <w:shd w:val="clear" w:color="auto" w:fill="auto"/>
            <w:noWrap/>
            <w:vAlign w:val="center"/>
            <w:hideMark/>
          </w:tcPr>
          <w:p w14:paraId="735CDD18" w14:textId="77777777" w:rsidR="00B90520" w:rsidRPr="005B77DD" w:rsidRDefault="00B90520" w:rsidP="00460015">
            <w:pPr>
              <w:rPr>
                <w:rFonts w:ascii="Times New Roman" w:eastAsia="Times New Roman" w:hAnsi="Times New Roman" w:cs="Times New Roman"/>
                <w:sz w:val="20"/>
                <w:szCs w:val="20"/>
              </w:rPr>
            </w:pPr>
          </w:p>
        </w:tc>
      </w:tr>
      <w:tr w:rsidR="00B90520" w:rsidRPr="005B77DD" w14:paraId="1F6A8EEB" w14:textId="77777777" w:rsidTr="00460015">
        <w:trPr>
          <w:trHeight w:val="274"/>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6AFFA1E4" w14:textId="77777777" w:rsidR="00B90520" w:rsidRPr="005B77DD" w:rsidRDefault="00B90520" w:rsidP="00460015">
            <w:pPr>
              <w:rPr>
                <w:rFonts w:ascii="Arial" w:eastAsia="Times New Roman" w:hAnsi="Arial" w:cs="Arial"/>
                <w:color w:val="000000"/>
                <w:sz w:val="16"/>
                <w:szCs w:val="16"/>
              </w:rPr>
            </w:pPr>
            <w:r w:rsidRPr="005B77DD">
              <w:rPr>
                <w:rFonts w:ascii="Arial" w:eastAsia="Times New Roman" w:hAnsi="Arial" w:cs="Arial"/>
                <w:color w:val="000000"/>
                <w:sz w:val="16"/>
                <w:szCs w:val="16"/>
              </w:rPr>
              <w:t>FY 07-08</w:t>
            </w:r>
          </w:p>
        </w:tc>
        <w:tc>
          <w:tcPr>
            <w:tcW w:w="1559" w:type="dxa"/>
            <w:tcBorders>
              <w:top w:val="nil"/>
              <w:left w:val="nil"/>
              <w:bottom w:val="single" w:sz="4" w:space="0" w:color="auto"/>
              <w:right w:val="single" w:sz="4" w:space="0" w:color="auto"/>
            </w:tcBorders>
            <w:shd w:val="clear" w:color="auto" w:fill="auto"/>
            <w:noWrap/>
            <w:vAlign w:val="center"/>
            <w:hideMark/>
          </w:tcPr>
          <w:p w14:paraId="6BF2AAF3" w14:textId="77777777" w:rsidR="00B90520" w:rsidRPr="005B77DD" w:rsidRDefault="00B90520" w:rsidP="00460015">
            <w:pPr>
              <w:jc w:val="right"/>
              <w:rPr>
                <w:rFonts w:ascii="Arial" w:eastAsia="Times New Roman" w:hAnsi="Arial" w:cs="Arial"/>
                <w:color w:val="000000"/>
                <w:sz w:val="16"/>
                <w:szCs w:val="16"/>
              </w:rPr>
            </w:pPr>
            <w:r w:rsidRPr="005B77DD">
              <w:rPr>
                <w:rFonts w:ascii="Arial" w:eastAsia="Times New Roman" w:hAnsi="Arial" w:cs="Arial"/>
                <w:color w:val="000000"/>
                <w:sz w:val="16"/>
                <w:szCs w:val="16"/>
              </w:rPr>
              <w:t>$33,020,104.79</w:t>
            </w:r>
          </w:p>
        </w:tc>
        <w:tc>
          <w:tcPr>
            <w:tcW w:w="280" w:type="dxa"/>
            <w:tcBorders>
              <w:top w:val="nil"/>
              <w:left w:val="nil"/>
              <w:bottom w:val="nil"/>
              <w:right w:val="nil"/>
            </w:tcBorders>
            <w:shd w:val="clear" w:color="auto" w:fill="auto"/>
            <w:noWrap/>
            <w:vAlign w:val="center"/>
            <w:hideMark/>
          </w:tcPr>
          <w:p w14:paraId="579527AF" w14:textId="77777777" w:rsidR="00B90520" w:rsidRPr="005B77DD" w:rsidRDefault="00B90520" w:rsidP="00460015">
            <w:pPr>
              <w:jc w:val="right"/>
              <w:rPr>
                <w:rFonts w:ascii="Arial" w:eastAsia="Times New Roman" w:hAnsi="Arial" w:cs="Arial"/>
                <w:color w:val="000000"/>
                <w:sz w:val="16"/>
                <w:szCs w:val="16"/>
              </w:rPr>
            </w:pPr>
          </w:p>
        </w:tc>
        <w:tc>
          <w:tcPr>
            <w:tcW w:w="1557" w:type="dxa"/>
            <w:tcBorders>
              <w:top w:val="nil"/>
              <w:left w:val="nil"/>
              <w:bottom w:val="nil"/>
              <w:right w:val="nil"/>
            </w:tcBorders>
            <w:shd w:val="clear" w:color="auto" w:fill="auto"/>
            <w:noWrap/>
            <w:vAlign w:val="center"/>
            <w:hideMark/>
          </w:tcPr>
          <w:p w14:paraId="102044B6" w14:textId="77777777" w:rsidR="00B90520" w:rsidRPr="005B77DD" w:rsidRDefault="00B90520" w:rsidP="00460015">
            <w:pPr>
              <w:rPr>
                <w:rFonts w:ascii="Times New Roman" w:eastAsia="Times New Roman" w:hAnsi="Times New Roman" w:cs="Times New Roman"/>
                <w:sz w:val="20"/>
                <w:szCs w:val="20"/>
              </w:rPr>
            </w:pPr>
          </w:p>
        </w:tc>
        <w:tc>
          <w:tcPr>
            <w:tcW w:w="1423" w:type="dxa"/>
            <w:gridSpan w:val="2"/>
            <w:tcBorders>
              <w:top w:val="nil"/>
              <w:left w:val="nil"/>
              <w:bottom w:val="nil"/>
              <w:right w:val="nil"/>
            </w:tcBorders>
            <w:shd w:val="clear" w:color="auto" w:fill="auto"/>
            <w:noWrap/>
            <w:vAlign w:val="center"/>
            <w:hideMark/>
          </w:tcPr>
          <w:p w14:paraId="40F8AF51" w14:textId="77777777" w:rsidR="00B90520" w:rsidRPr="005B77DD" w:rsidRDefault="00B90520" w:rsidP="00460015">
            <w:pPr>
              <w:rPr>
                <w:rFonts w:ascii="Times New Roman" w:eastAsia="Times New Roman" w:hAnsi="Times New Roman" w:cs="Times New Roman"/>
                <w:sz w:val="20"/>
                <w:szCs w:val="20"/>
              </w:rPr>
            </w:pPr>
          </w:p>
        </w:tc>
      </w:tr>
      <w:tr w:rsidR="00B90520" w:rsidRPr="005B77DD" w14:paraId="4E50DC1B" w14:textId="77777777" w:rsidTr="00460015">
        <w:trPr>
          <w:trHeight w:val="274"/>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55F994B4" w14:textId="77777777" w:rsidR="00B90520" w:rsidRPr="005B77DD" w:rsidRDefault="00B90520" w:rsidP="00460015">
            <w:pPr>
              <w:rPr>
                <w:rFonts w:ascii="Arial" w:eastAsia="Times New Roman" w:hAnsi="Arial" w:cs="Arial"/>
                <w:color w:val="000000"/>
                <w:sz w:val="16"/>
                <w:szCs w:val="16"/>
              </w:rPr>
            </w:pPr>
            <w:r w:rsidRPr="005B77DD">
              <w:rPr>
                <w:rFonts w:ascii="Arial" w:eastAsia="Times New Roman" w:hAnsi="Arial" w:cs="Arial"/>
                <w:color w:val="000000"/>
                <w:sz w:val="16"/>
                <w:szCs w:val="16"/>
              </w:rPr>
              <w:t>FY 08-09</w:t>
            </w:r>
          </w:p>
        </w:tc>
        <w:tc>
          <w:tcPr>
            <w:tcW w:w="1559" w:type="dxa"/>
            <w:tcBorders>
              <w:top w:val="nil"/>
              <w:left w:val="nil"/>
              <w:bottom w:val="single" w:sz="4" w:space="0" w:color="auto"/>
              <w:right w:val="single" w:sz="4" w:space="0" w:color="auto"/>
            </w:tcBorders>
            <w:shd w:val="clear" w:color="auto" w:fill="auto"/>
            <w:noWrap/>
            <w:vAlign w:val="center"/>
            <w:hideMark/>
          </w:tcPr>
          <w:p w14:paraId="62CA943B" w14:textId="77777777" w:rsidR="00B90520" w:rsidRPr="005B77DD" w:rsidRDefault="00B90520" w:rsidP="00460015">
            <w:pPr>
              <w:jc w:val="right"/>
              <w:rPr>
                <w:rFonts w:ascii="Arial" w:eastAsia="Times New Roman" w:hAnsi="Arial" w:cs="Arial"/>
                <w:color w:val="000000"/>
                <w:sz w:val="16"/>
                <w:szCs w:val="16"/>
              </w:rPr>
            </w:pPr>
            <w:r w:rsidRPr="005B77DD">
              <w:rPr>
                <w:rFonts w:ascii="Arial" w:eastAsia="Times New Roman" w:hAnsi="Arial" w:cs="Arial"/>
                <w:color w:val="000000"/>
                <w:sz w:val="16"/>
                <w:szCs w:val="16"/>
              </w:rPr>
              <w:t>$38,020,941.87</w:t>
            </w:r>
          </w:p>
        </w:tc>
        <w:tc>
          <w:tcPr>
            <w:tcW w:w="280" w:type="dxa"/>
            <w:tcBorders>
              <w:top w:val="nil"/>
              <w:left w:val="nil"/>
              <w:bottom w:val="nil"/>
              <w:right w:val="nil"/>
            </w:tcBorders>
            <w:shd w:val="clear" w:color="auto" w:fill="auto"/>
            <w:noWrap/>
            <w:vAlign w:val="center"/>
            <w:hideMark/>
          </w:tcPr>
          <w:p w14:paraId="10A58948" w14:textId="77777777" w:rsidR="00B90520" w:rsidRPr="005B77DD" w:rsidRDefault="00B90520" w:rsidP="00460015">
            <w:pPr>
              <w:jc w:val="right"/>
              <w:rPr>
                <w:rFonts w:ascii="Arial" w:eastAsia="Times New Roman" w:hAnsi="Arial" w:cs="Arial"/>
                <w:color w:val="000000"/>
                <w:sz w:val="16"/>
                <w:szCs w:val="16"/>
              </w:rPr>
            </w:pPr>
          </w:p>
        </w:tc>
        <w:tc>
          <w:tcPr>
            <w:tcW w:w="1557" w:type="dxa"/>
            <w:tcBorders>
              <w:top w:val="nil"/>
              <w:left w:val="nil"/>
              <w:bottom w:val="nil"/>
              <w:right w:val="nil"/>
            </w:tcBorders>
            <w:shd w:val="clear" w:color="auto" w:fill="auto"/>
            <w:noWrap/>
            <w:vAlign w:val="center"/>
            <w:hideMark/>
          </w:tcPr>
          <w:p w14:paraId="39904D92" w14:textId="77777777" w:rsidR="00B90520" w:rsidRPr="005B77DD" w:rsidRDefault="00B90520" w:rsidP="00460015">
            <w:pPr>
              <w:rPr>
                <w:rFonts w:ascii="Times New Roman" w:eastAsia="Times New Roman" w:hAnsi="Times New Roman" w:cs="Times New Roman"/>
                <w:sz w:val="20"/>
                <w:szCs w:val="20"/>
              </w:rPr>
            </w:pPr>
          </w:p>
        </w:tc>
        <w:tc>
          <w:tcPr>
            <w:tcW w:w="1423" w:type="dxa"/>
            <w:gridSpan w:val="2"/>
            <w:tcBorders>
              <w:top w:val="nil"/>
              <w:left w:val="nil"/>
              <w:bottom w:val="nil"/>
              <w:right w:val="nil"/>
            </w:tcBorders>
            <w:shd w:val="clear" w:color="auto" w:fill="auto"/>
            <w:noWrap/>
            <w:vAlign w:val="center"/>
            <w:hideMark/>
          </w:tcPr>
          <w:p w14:paraId="6FFCBFA4" w14:textId="77777777" w:rsidR="00B90520" w:rsidRPr="005B77DD" w:rsidRDefault="00B90520" w:rsidP="00460015">
            <w:pPr>
              <w:rPr>
                <w:rFonts w:ascii="Times New Roman" w:eastAsia="Times New Roman" w:hAnsi="Times New Roman" w:cs="Times New Roman"/>
                <w:sz w:val="20"/>
                <w:szCs w:val="20"/>
              </w:rPr>
            </w:pPr>
          </w:p>
        </w:tc>
      </w:tr>
      <w:tr w:rsidR="00B90520" w:rsidRPr="005B77DD" w14:paraId="4FB0ADC5" w14:textId="77777777" w:rsidTr="00460015">
        <w:trPr>
          <w:trHeight w:val="274"/>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0F18D672" w14:textId="77777777" w:rsidR="00B90520" w:rsidRPr="005B77DD" w:rsidRDefault="00B90520" w:rsidP="00460015">
            <w:pPr>
              <w:rPr>
                <w:rFonts w:ascii="Arial" w:eastAsia="Times New Roman" w:hAnsi="Arial" w:cs="Arial"/>
                <w:color w:val="000000"/>
                <w:sz w:val="16"/>
                <w:szCs w:val="16"/>
              </w:rPr>
            </w:pPr>
            <w:r w:rsidRPr="005B77DD">
              <w:rPr>
                <w:rFonts w:ascii="Arial" w:eastAsia="Times New Roman" w:hAnsi="Arial" w:cs="Arial"/>
                <w:color w:val="000000"/>
                <w:sz w:val="16"/>
                <w:szCs w:val="16"/>
              </w:rPr>
              <w:t>FY 09-10</w:t>
            </w:r>
          </w:p>
        </w:tc>
        <w:tc>
          <w:tcPr>
            <w:tcW w:w="1559" w:type="dxa"/>
            <w:tcBorders>
              <w:top w:val="nil"/>
              <w:left w:val="nil"/>
              <w:bottom w:val="single" w:sz="4" w:space="0" w:color="auto"/>
              <w:right w:val="single" w:sz="4" w:space="0" w:color="auto"/>
            </w:tcBorders>
            <w:shd w:val="clear" w:color="auto" w:fill="auto"/>
            <w:noWrap/>
            <w:vAlign w:val="center"/>
            <w:hideMark/>
          </w:tcPr>
          <w:p w14:paraId="46E796B3" w14:textId="77777777" w:rsidR="00B90520" w:rsidRPr="005B77DD" w:rsidRDefault="00B90520" w:rsidP="00460015">
            <w:pPr>
              <w:jc w:val="right"/>
              <w:rPr>
                <w:rFonts w:ascii="Arial" w:eastAsia="Times New Roman" w:hAnsi="Arial" w:cs="Arial"/>
                <w:color w:val="000000"/>
                <w:sz w:val="16"/>
                <w:szCs w:val="16"/>
              </w:rPr>
            </w:pPr>
            <w:r w:rsidRPr="005B77DD">
              <w:rPr>
                <w:rFonts w:ascii="Arial" w:eastAsia="Times New Roman" w:hAnsi="Arial" w:cs="Arial"/>
                <w:color w:val="000000"/>
                <w:sz w:val="16"/>
                <w:szCs w:val="16"/>
              </w:rPr>
              <w:t>$21,018,149.25</w:t>
            </w:r>
          </w:p>
        </w:tc>
        <w:tc>
          <w:tcPr>
            <w:tcW w:w="280" w:type="dxa"/>
            <w:tcBorders>
              <w:top w:val="nil"/>
              <w:left w:val="nil"/>
              <w:bottom w:val="nil"/>
              <w:right w:val="nil"/>
            </w:tcBorders>
            <w:shd w:val="clear" w:color="auto" w:fill="auto"/>
            <w:noWrap/>
            <w:vAlign w:val="center"/>
            <w:hideMark/>
          </w:tcPr>
          <w:p w14:paraId="3D8D2F36" w14:textId="77777777" w:rsidR="00B90520" w:rsidRPr="005B77DD" w:rsidRDefault="00B90520" w:rsidP="00460015">
            <w:pPr>
              <w:jc w:val="right"/>
              <w:rPr>
                <w:rFonts w:ascii="Arial" w:eastAsia="Times New Roman" w:hAnsi="Arial" w:cs="Arial"/>
                <w:color w:val="000000"/>
                <w:sz w:val="16"/>
                <w:szCs w:val="16"/>
              </w:rPr>
            </w:pPr>
          </w:p>
        </w:tc>
        <w:tc>
          <w:tcPr>
            <w:tcW w:w="1557" w:type="dxa"/>
            <w:tcBorders>
              <w:top w:val="nil"/>
              <w:left w:val="nil"/>
              <w:bottom w:val="nil"/>
              <w:right w:val="nil"/>
            </w:tcBorders>
            <w:shd w:val="clear" w:color="auto" w:fill="auto"/>
            <w:noWrap/>
            <w:vAlign w:val="center"/>
            <w:hideMark/>
          </w:tcPr>
          <w:p w14:paraId="6C5910D1" w14:textId="77777777" w:rsidR="00B90520" w:rsidRPr="005B77DD" w:rsidRDefault="00B90520" w:rsidP="00460015">
            <w:pPr>
              <w:rPr>
                <w:rFonts w:ascii="Times New Roman" w:eastAsia="Times New Roman" w:hAnsi="Times New Roman" w:cs="Times New Roman"/>
                <w:sz w:val="20"/>
                <w:szCs w:val="20"/>
              </w:rPr>
            </w:pPr>
          </w:p>
        </w:tc>
        <w:tc>
          <w:tcPr>
            <w:tcW w:w="1423" w:type="dxa"/>
            <w:gridSpan w:val="2"/>
            <w:tcBorders>
              <w:top w:val="nil"/>
              <w:left w:val="nil"/>
              <w:bottom w:val="nil"/>
              <w:right w:val="nil"/>
            </w:tcBorders>
            <w:shd w:val="clear" w:color="auto" w:fill="auto"/>
            <w:noWrap/>
            <w:vAlign w:val="center"/>
            <w:hideMark/>
          </w:tcPr>
          <w:p w14:paraId="2FE718D7" w14:textId="77777777" w:rsidR="00B90520" w:rsidRPr="005B77DD" w:rsidRDefault="00B90520" w:rsidP="00460015">
            <w:pPr>
              <w:rPr>
                <w:rFonts w:ascii="Times New Roman" w:eastAsia="Times New Roman" w:hAnsi="Times New Roman" w:cs="Times New Roman"/>
                <w:sz w:val="20"/>
                <w:szCs w:val="20"/>
              </w:rPr>
            </w:pPr>
          </w:p>
        </w:tc>
      </w:tr>
      <w:tr w:rsidR="00B90520" w:rsidRPr="005B77DD" w14:paraId="146E06C0" w14:textId="77777777" w:rsidTr="00460015">
        <w:trPr>
          <w:trHeight w:val="274"/>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48074B36" w14:textId="77777777" w:rsidR="00B90520" w:rsidRPr="005B77DD" w:rsidRDefault="00B90520" w:rsidP="00460015">
            <w:pPr>
              <w:rPr>
                <w:rFonts w:ascii="Arial" w:eastAsia="Times New Roman" w:hAnsi="Arial" w:cs="Arial"/>
                <w:color w:val="000000"/>
                <w:sz w:val="16"/>
                <w:szCs w:val="16"/>
              </w:rPr>
            </w:pPr>
            <w:r w:rsidRPr="005B77DD">
              <w:rPr>
                <w:rFonts w:ascii="Arial" w:eastAsia="Times New Roman" w:hAnsi="Arial" w:cs="Arial"/>
                <w:color w:val="000000"/>
                <w:sz w:val="16"/>
                <w:szCs w:val="16"/>
              </w:rPr>
              <w:t>FY 10-11</w:t>
            </w:r>
          </w:p>
        </w:tc>
        <w:tc>
          <w:tcPr>
            <w:tcW w:w="1559" w:type="dxa"/>
            <w:tcBorders>
              <w:top w:val="nil"/>
              <w:left w:val="nil"/>
              <w:bottom w:val="single" w:sz="4" w:space="0" w:color="auto"/>
              <w:right w:val="single" w:sz="4" w:space="0" w:color="auto"/>
            </w:tcBorders>
            <w:shd w:val="clear" w:color="auto" w:fill="auto"/>
            <w:noWrap/>
            <w:vAlign w:val="center"/>
            <w:hideMark/>
          </w:tcPr>
          <w:p w14:paraId="5ADD3EFE" w14:textId="77777777" w:rsidR="00B90520" w:rsidRPr="005B77DD" w:rsidRDefault="00B90520" w:rsidP="00460015">
            <w:pPr>
              <w:jc w:val="right"/>
              <w:rPr>
                <w:rFonts w:ascii="Arial" w:eastAsia="Times New Roman" w:hAnsi="Arial" w:cs="Arial"/>
                <w:color w:val="000000"/>
                <w:sz w:val="16"/>
                <w:szCs w:val="16"/>
              </w:rPr>
            </w:pPr>
            <w:r w:rsidRPr="005B77DD">
              <w:rPr>
                <w:rFonts w:ascii="Arial" w:eastAsia="Times New Roman" w:hAnsi="Arial" w:cs="Arial"/>
                <w:color w:val="000000"/>
                <w:sz w:val="16"/>
                <w:szCs w:val="16"/>
              </w:rPr>
              <w:t>$21,673,915.21</w:t>
            </w:r>
          </w:p>
        </w:tc>
        <w:tc>
          <w:tcPr>
            <w:tcW w:w="280" w:type="dxa"/>
            <w:tcBorders>
              <w:top w:val="nil"/>
              <w:left w:val="nil"/>
              <w:bottom w:val="nil"/>
              <w:right w:val="nil"/>
            </w:tcBorders>
            <w:shd w:val="clear" w:color="auto" w:fill="auto"/>
            <w:noWrap/>
            <w:vAlign w:val="center"/>
            <w:hideMark/>
          </w:tcPr>
          <w:p w14:paraId="74C67115" w14:textId="77777777" w:rsidR="00B90520" w:rsidRPr="005B77DD" w:rsidRDefault="00B90520" w:rsidP="00460015">
            <w:pPr>
              <w:jc w:val="right"/>
              <w:rPr>
                <w:rFonts w:ascii="Arial" w:eastAsia="Times New Roman" w:hAnsi="Arial" w:cs="Arial"/>
                <w:color w:val="000000"/>
                <w:sz w:val="16"/>
                <w:szCs w:val="16"/>
              </w:rPr>
            </w:pPr>
          </w:p>
        </w:tc>
        <w:tc>
          <w:tcPr>
            <w:tcW w:w="1557" w:type="dxa"/>
            <w:tcBorders>
              <w:top w:val="nil"/>
              <w:left w:val="nil"/>
              <w:bottom w:val="nil"/>
              <w:right w:val="nil"/>
            </w:tcBorders>
            <w:shd w:val="clear" w:color="auto" w:fill="auto"/>
            <w:noWrap/>
            <w:vAlign w:val="center"/>
            <w:hideMark/>
          </w:tcPr>
          <w:p w14:paraId="7BED3886" w14:textId="77777777" w:rsidR="00B90520" w:rsidRPr="005B77DD" w:rsidRDefault="00B90520" w:rsidP="00460015">
            <w:pPr>
              <w:rPr>
                <w:rFonts w:ascii="Times New Roman" w:eastAsia="Times New Roman" w:hAnsi="Times New Roman" w:cs="Times New Roman"/>
                <w:sz w:val="20"/>
                <w:szCs w:val="20"/>
              </w:rPr>
            </w:pPr>
          </w:p>
        </w:tc>
        <w:tc>
          <w:tcPr>
            <w:tcW w:w="1423" w:type="dxa"/>
            <w:gridSpan w:val="2"/>
            <w:tcBorders>
              <w:top w:val="nil"/>
              <w:left w:val="nil"/>
              <w:bottom w:val="nil"/>
              <w:right w:val="nil"/>
            </w:tcBorders>
            <w:shd w:val="clear" w:color="auto" w:fill="auto"/>
            <w:noWrap/>
            <w:vAlign w:val="center"/>
            <w:hideMark/>
          </w:tcPr>
          <w:p w14:paraId="569E5D4C" w14:textId="77777777" w:rsidR="00B90520" w:rsidRPr="005B77DD" w:rsidRDefault="00B90520" w:rsidP="00460015">
            <w:pPr>
              <w:rPr>
                <w:rFonts w:ascii="Times New Roman" w:eastAsia="Times New Roman" w:hAnsi="Times New Roman" w:cs="Times New Roman"/>
                <w:sz w:val="20"/>
                <w:szCs w:val="20"/>
              </w:rPr>
            </w:pPr>
          </w:p>
        </w:tc>
      </w:tr>
      <w:tr w:rsidR="00B90520" w:rsidRPr="005B77DD" w14:paraId="79E3FA09" w14:textId="77777777" w:rsidTr="00460015">
        <w:trPr>
          <w:trHeight w:val="274"/>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5C05BAEE" w14:textId="77777777" w:rsidR="00B90520" w:rsidRPr="005B77DD" w:rsidRDefault="00B90520" w:rsidP="00460015">
            <w:pPr>
              <w:rPr>
                <w:rFonts w:ascii="Arial" w:eastAsia="Times New Roman" w:hAnsi="Arial" w:cs="Arial"/>
                <w:color w:val="000000"/>
                <w:sz w:val="16"/>
                <w:szCs w:val="16"/>
              </w:rPr>
            </w:pPr>
            <w:r w:rsidRPr="005B77DD">
              <w:rPr>
                <w:rFonts w:ascii="Arial" w:eastAsia="Times New Roman" w:hAnsi="Arial" w:cs="Arial"/>
                <w:color w:val="000000"/>
                <w:sz w:val="16"/>
                <w:szCs w:val="16"/>
              </w:rPr>
              <w:t>FY 11-12</w:t>
            </w:r>
          </w:p>
        </w:tc>
        <w:tc>
          <w:tcPr>
            <w:tcW w:w="1559" w:type="dxa"/>
            <w:tcBorders>
              <w:top w:val="nil"/>
              <w:left w:val="nil"/>
              <w:bottom w:val="single" w:sz="4" w:space="0" w:color="auto"/>
              <w:right w:val="single" w:sz="4" w:space="0" w:color="auto"/>
            </w:tcBorders>
            <w:shd w:val="clear" w:color="auto" w:fill="auto"/>
            <w:noWrap/>
            <w:vAlign w:val="center"/>
            <w:hideMark/>
          </w:tcPr>
          <w:p w14:paraId="62E12BBA" w14:textId="77777777" w:rsidR="00B90520" w:rsidRPr="005B77DD" w:rsidRDefault="00B90520" w:rsidP="00460015">
            <w:pPr>
              <w:jc w:val="right"/>
              <w:rPr>
                <w:rFonts w:ascii="Arial" w:eastAsia="Times New Roman" w:hAnsi="Arial" w:cs="Arial"/>
                <w:color w:val="000000"/>
                <w:sz w:val="16"/>
                <w:szCs w:val="16"/>
              </w:rPr>
            </w:pPr>
            <w:r w:rsidRPr="005B77DD">
              <w:rPr>
                <w:rFonts w:ascii="Arial" w:eastAsia="Times New Roman" w:hAnsi="Arial" w:cs="Arial"/>
                <w:color w:val="000000"/>
                <w:sz w:val="16"/>
                <w:szCs w:val="16"/>
              </w:rPr>
              <w:t>$21,551,888.97</w:t>
            </w:r>
          </w:p>
        </w:tc>
        <w:tc>
          <w:tcPr>
            <w:tcW w:w="280" w:type="dxa"/>
            <w:tcBorders>
              <w:top w:val="nil"/>
              <w:left w:val="nil"/>
              <w:bottom w:val="nil"/>
              <w:right w:val="nil"/>
            </w:tcBorders>
            <w:shd w:val="clear" w:color="auto" w:fill="auto"/>
            <w:noWrap/>
            <w:vAlign w:val="center"/>
            <w:hideMark/>
          </w:tcPr>
          <w:p w14:paraId="735774A8" w14:textId="77777777" w:rsidR="00B90520" w:rsidRPr="005B77DD" w:rsidRDefault="00B90520" w:rsidP="00460015">
            <w:pPr>
              <w:jc w:val="right"/>
              <w:rPr>
                <w:rFonts w:ascii="Arial" w:eastAsia="Times New Roman" w:hAnsi="Arial" w:cs="Arial"/>
                <w:color w:val="000000"/>
                <w:sz w:val="16"/>
                <w:szCs w:val="16"/>
              </w:rPr>
            </w:pPr>
          </w:p>
        </w:tc>
        <w:tc>
          <w:tcPr>
            <w:tcW w:w="1557" w:type="dxa"/>
            <w:tcBorders>
              <w:top w:val="nil"/>
              <w:left w:val="nil"/>
              <w:bottom w:val="nil"/>
              <w:right w:val="nil"/>
            </w:tcBorders>
            <w:shd w:val="clear" w:color="auto" w:fill="auto"/>
            <w:noWrap/>
            <w:vAlign w:val="center"/>
            <w:hideMark/>
          </w:tcPr>
          <w:p w14:paraId="7D23350F" w14:textId="77777777" w:rsidR="00B90520" w:rsidRPr="005B77DD" w:rsidRDefault="00B90520" w:rsidP="00460015">
            <w:pPr>
              <w:rPr>
                <w:rFonts w:ascii="Times New Roman" w:eastAsia="Times New Roman" w:hAnsi="Times New Roman" w:cs="Times New Roman"/>
                <w:sz w:val="20"/>
                <w:szCs w:val="20"/>
              </w:rPr>
            </w:pPr>
          </w:p>
        </w:tc>
        <w:tc>
          <w:tcPr>
            <w:tcW w:w="1423" w:type="dxa"/>
            <w:gridSpan w:val="2"/>
            <w:tcBorders>
              <w:top w:val="nil"/>
              <w:left w:val="nil"/>
              <w:bottom w:val="nil"/>
              <w:right w:val="nil"/>
            </w:tcBorders>
            <w:shd w:val="clear" w:color="auto" w:fill="auto"/>
            <w:noWrap/>
            <w:vAlign w:val="center"/>
            <w:hideMark/>
          </w:tcPr>
          <w:p w14:paraId="4AB76D2B" w14:textId="77777777" w:rsidR="00B90520" w:rsidRPr="005B77DD" w:rsidRDefault="00B90520" w:rsidP="00460015">
            <w:pPr>
              <w:rPr>
                <w:rFonts w:ascii="Times New Roman" w:eastAsia="Times New Roman" w:hAnsi="Times New Roman" w:cs="Times New Roman"/>
                <w:sz w:val="20"/>
                <w:szCs w:val="20"/>
              </w:rPr>
            </w:pPr>
          </w:p>
        </w:tc>
      </w:tr>
      <w:tr w:rsidR="00B90520" w:rsidRPr="005B77DD" w14:paraId="7A9C12FD" w14:textId="77777777" w:rsidTr="00460015">
        <w:trPr>
          <w:trHeight w:val="274"/>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39FC2F4B" w14:textId="77777777" w:rsidR="00B90520" w:rsidRPr="005B77DD" w:rsidRDefault="00B90520" w:rsidP="00460015">
            <w:pPr>
              <w:rPr>
                <w:rFonts w:ascii="Arial" w:eastAsia="Times New Roman" w:hAnsi="Arial" w:cs="Arial"/>
                <w:color w:val="000000"/>
                <w:sz w:val="16"/>
                <w:szCs w:val="16"/>
              </w:rPr>
            </w:pPr>
            <w:r w:rsidRPr="005B77DD">
              <w:rPr>
                <w:rFonts w:ascii="Arial" w:eastAsia="Times New Roman" w:hAnsi="Arial" w:cs="Arial"/>
                <w:color w:val="000000"/>
                <w:sz w:val="16"/>
                <w:szCs w:val="16"/>
              </w:rPr>
              <w:t>FY 12-13</w:t>
            </w:r>
          </w:p>
        </w:tc>
        <w:tc>
          <w:tcPr>
            <w:tcW w:w="1559" w:type="dxa"/>
            <w:tcBorders>
              <w:top w:val="nil"/>
              <w:left w:val="nil"/>
              <w:bottom w:val="single" w:sz="4" w:space="0" w:color="auto"/>
              <w:right w:val="single" w:sz="4" w:space="0" w:color="auto"/>
            </w:tcBorders>
            <w:shd w:val="clear" w:color="auto" w:fill="auto"/>
            <w:noWrap/>
            <w:vAlign w:val="center"/>
            <w:hideMark/>
          </w:tcPr>
          <w:p w14:paraId="1AAF2C30" w14:textId="77777777" w:rsidR="00B90520" w:rsidRPr="005B77DD" w:rsidRDefault="00B90520" w:rsidP="00460015">
            <w:pPr>
              <w:jc w:val="right"/>
              <w:rPr>
                <w:rFonts w:ascii="Arial" w:eastAsia="Times New Roman" w:hAnsi="Arial" w:cs="Arial"/>
                <w:color w:val="000000"/>
                <w:sz w:val="16"/>
                <w:szCs w:val="16"/>
              </w:rPr>
            </w:pPr>
            <w:r w:rsidRPr="005B77DD">
              <w:rPr>
                <w:rFonts w:ascii="Arial" w:eastAsia="Times New Roman" w:hAnsi="Arial" w:cs="Arial"/>
                <w:color w:val="000000"/>
                <w:sz w:val="16"/>
                <w:szCs w:val="16"/>
              </w:rPr>
              <w:t>$22,884,597.40</w:t>
            </w:r>
          </w:p>
        </w:tc>
        <w:tc>
          <w:tcPr>
            <w:tcW w:w="280" w:type="dxa"/>
            <w:tcBorders>
              <w:top w:val="nil"/>
              <w:left w:val="nil"/>
              <w:bottom w:val="nil"/>
              <w:right w:val="nil"/>
            </w:tcBorders>
            <w:shd w:val="clear" w:color="auto" w:fill="auto"/>
            <w:noWrap/>
            <w:vAlign w:val="center"/>
            <w:hideMark/>
          </w:tcPr>
          <w:p w14:paraId="4D3EDC0B" w14:textId="77777777" w:rsidR="00B90520" w:rsidRPr="005B77DD" w:rsidRDefault="00B90520" w:rsidP="00460015">
            <w:pPr>
              <w:jc w:val="right"/>
              <w:rPr>
                <w:rFonts w:ascii="Arial" w:eastAsia="Times New Roman" w:hAnsi="Arial" w:cs="Arial"/>
                <w:color w:val="000000"/>
                <w:sz w:val="16"/>
                <w:szCs w:val="16"/>
              </w:rPr>
            </w:pPr>
          </w:p>
        </w:tc>
        <w:tc>
          <w:tcPr>
            <w:tcW w:w="1557" w:type="dxa"/>
            <w:tcBorders>
              <w:top w:val="nil"/>
              <w:left w:val="nil"/>
              <w:bottom w:val="nil"/>
              <w:right w:val="nil"/>
            </w:tcBorders>
            <w:shd w:val="clear" w:color="auto" w:fill="auto"/>
            <w:noWrap/>
            <w:vAlign w:val="center"/>
            <w:hideMark/>
          </w:tcPr>
          <w:p w14:paraId="7F8C6B15" w14:textId="77777777" w:rsidR="00B90520" w:rsidRPr="005B77DD" w:rsidRDefault="00B90520" w:rsidP="00460015">
            <w:pPr>
              <w:rPr>
                <w:rFonts w:ascii="Times New Roman" w:eastAsia="Times New Roman" w:hAnsi="Times New Roman" w:cs="Times New Roman"/>
                <w:sz w:val="20"/>
                <w:szCs w:val="20"/>
              </w:rPr>
            </w:pPr>
          </w:p>
        </w:tc>
        <w:tc>
          <w:tcPr>
            <w:tcW w:w="1423" w:type="dxa"/>
            <w:gridSpan w:val="2"/>
            <w:tcBorders>
              <w:top w:val="nil"/>
              <w:left w:val="nil"/>
              <w:bottom w:val="nil"/>
              <w:right w:val="nil"/>
            </w:tcBorders>
            <w:shd w:val="clear" w:color="auto" w:fill="auto"/>
            <w:noWrap/>
            <w:vAlign w:val="center"/>
            <w:hideMark/>
          </w:tcPr>
          <w:p w14:paraId="48F503B5" w14:textId="77777777" w:rsidR="00B90520" w:rsidRPr="005B77DD" w:rsidRDefault="00B90520" w:rsidP="00460015">
            <w:pPr>
              <w:rPr>
                <w:rFonts w:ascii="Times New Roman" w:eastAsia="Times New Roman" w:hAnsi="Times New Roman" w:cs="Times New Roman"/>
                <w:sz w:val="20"/>
                <w:szCs w:val="20"/>
              </w:rPr>
            </w:pPr>
          </w:p>
        </w:tc>
      </w:tr>
      <w:tr w:rsidR="00B90520" w:rsidRPr="005B77DD" w14:paraId="7DEAAE8C" w14:textId="77777777" w:rsidTr="00460015">
        <w:trPr>
          <w:trHeight w:val="274"/>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509164C0" w14:textId="77777777" w:rsidR="00B90520" w:rsidRPr="005B77DD" w:rsidRDefault="00B90520" w:rsidP="00460015">
            <w:pPr>
              <w:rPr>
                <w:rFonts w:ascii="Arial" w:eastAsia="Times New Roman" w:hAnsi="Arial" w:cs="Arial"/>
                <w:color w:val="000000"/>
                <w:sz w:val="16"/>
                <w:szCs w:val="16"/>
              </w:rPr>
            </w:pPr>
            <w:r w:rsidRPr="005B77DD">
              <w:rPr>
                <w:rFonts w:ascii="Arial" w:eastAsia="Times New Roman" w:hAnsi="Arial" w:cs="Arial"/>
                <w:color w:val="000000"/>
                <w:sz w:val="16"/>
                <w:szCs w:val="16"/>
              </w:rPr>
              <w:t>FY 13-14</w:t>
            </w:r>
          </w:p>
        </w:tc>
        <w:tc>
          <w:tcPr>
            <w:tcW w:w="1559" w:type="dxa"/>
            <w:tcBorders>
              <w:top w:val="nil"/>
              <w:left w:val="nil"/>
              <w:bottom w:val="single" w:sz="4" w:space="0" w:color="auto"/>
              <w:right w:val="single" w:sz="4" w:space="0" w:color="auto"/>
            </w:tcBorders>
            <w:shd w:val="clear" w:color="auto" w:fill="auto"/>
            <w:noWrap/>
            <w:vAlign w:val="center"/>
            <w:hideMark/>
          </w:tcPr>
          <w:p w14:paraId="74D308DE" w14:textId="77777777" w:rsidR="00B90520" w:rsidRPr="005B77DD" w:rsidRDefault="00B90520" w:rsidP="00460015">
            <w:pPr>
              <w:jc w:val="right"/>
              <w:rPr>
                <w:rFonts w:ascii="Arial" w:eastAsia="Times New Roman" w:hAnsi="Arial" w:cs="Arial"/>
                <w:color w:val="000000"/>
                <w:sz w:val="16"/>
                <w:szCs w:val="16"/>
              </w:rPr>
            </w:pPr>
            <w:r w:rsidRPr="005B77DD">
              <w:rPr>
                <w:rFonts w:ascii="Arial" w:eastAsia="Times New Roman" w:hAnsi="Arial" w:cs="Arial"/>
                <w:color w:val="000000"/>
                <w:sz w:val="16"/>
                <w:szCs w:val="16"/>
              </w:rPr>
              <w:t>$20,639,537.12</w:t>
            </w:r>
          </w:p>
        </w:tc>
        <w:tc>
          <w:tcPr>
            <w:tcW w:w="280" w:type="dxa"/>
            <w:tcBorders>
              <w:top w:val="nil"/>
              <w:left w:val="nil"/>
              <w:bottom w:val="nil"/>
              <w:right w:val="nil"/>
            </w:tcBorders>
            <w:shd w:val="clear" w:color="auto" w:fill="auto"/>
            <w:noWrap/>
            <w:vAlign w:val="center"/>
            <w:hideMark/>
          </w:tcPr>
          <w:p w14:paraId="5F0814CC" w14:textId="77777777" w:rsidR="00B90520" w:rsidRPr="005B77DD" w:rsidRDefault="00B90520" w:rsidP="00460015">
            <w:pPr>
              <w:jc w:val="right"/>
              <w:rPr>
                <w:rFonts w:ascii="Arial" w:eastAsia="Times New Roman" w:hAnsi="Arial" w:cs="Arial"/>
                <w:color w:val="000000"/>
                <w:sz w:val="16"/>
                <w:szCs w:val="16"/>
              </w:rPr>
            </w:pPr>
          </w:p>
        </w:tc>
        <w:tc>
          <w:tcPr>
            <w:tcW w:w="1557" w:type="dxa"/>
            <w:tcBorders>
              <w:top w:val="nil"/>
              <w:left w:val="nil"/>
              <w:bottom w:val="nil"/>
              <w:right w:val="nil"/>
            </w:tcBorders>
            <w:shd w:val="clear" w:color="auto" w:fill="auto"/>
            <w:noWrap/>
            <w:vAlign w:val="center"/>
            <w:hideMark/>
          </w:tcPr>
          <w:p w14:paraId="5412C288" w14:textId="77777777" w:rsidR="00B90520" w:rsidRPr="005B77DD" w:rsidRDefault="00B90520" w:rsidP="00460015">
            <w:pPr>
              <w:rPr>
                <w:rFonts w:ascii="Times New Roman" w:eastAsia="Times New Roman" w:hAnsi="Times New Roman" w:cs="Times New Roman"/>
                <w:sz w:val="20"/>
                <w:szCs w:val="20"/>
              </w:rPr>
            </w:pPr>
          </w:p>
        </w:tc>
        <w:tc>
          <w:tcPr>
            <w:tcW w:w="1423" w:type="dxa"/>
            <w:gridSpan w:val="2"/>
            <w:tcBorders>
              <w:top w:val="nil"/>
              <w:left w:val="nil"/>
              <w:bottom w:val="nil"/>
              <w:right w:val="nil"/>
            </w:tcBorders>
            <w:shd w:val="clear" w:color="auto" w:fill="auto"/>
            <w:noWrap/>
            <w:vAlign w:val="center"/>
            <w:hideMark/>
          </w:tcPr>
          <w:p w14:paraId="6EBDAEE0" w14:textId="77777777" w:rsidR="00B90520" w:rsidRPr="005B77DD" w:rsidRDefault="00B90520" w:rsidP="00460015">
            <w:pPr>
              <w:rPr>
                <w:rFonts w:ascii="Times New Roman" w:eastAsia="Times New Roman" w:hAnsi="Times New Roman" w:cs="Times New Roman"/>
                <w:sz w:val="20"/>
                <w:szCs w:val="20"/>
              </w:rPr>
            </w:pPr>
          </w:p>
        </w:tc>
      </w:tr>
      <w:tr w:rsidR="00B90520" w:rsidRPr="005B77DD" w14:paraId="13C12C63" w14:textId="77777777" w:rsidTr="00460015">
        <w:trPr>
          <w:trHeight w:val="274"/>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2F3735B5" w14:textId="77777777" w:rsidR="00B90520" w:rsidRPr="005B77DD" w:rsidRDefault="00B90520" w:rsidP="00460015">
            <w:pPr>
              <w:rPr>
                <w:rFonts w:ascii="Arial" w:eastAsia="Times New Roman" w:hAnsi="Arial" w:cs="Arial"/>
                <w:color w:val="000000"/>
                <w:sz w:val="16"/>
                <w:szCs w:val="16"/>
              </w:rPr>
            </w:pPr>
            <w:r w:rsidRPr="005B77DD">
              <w:rPr>
                <w:rFonts w:ascii="Arial" w:eastAsia="Times New Roman" w:hAnsi="Arial" w:cs="Arial"/>
                <w:color w:val="000000"/>
                <w:sz w:val="16"/>
                <w:szCs w:val="16"/>
              </w:rPr>
              <w:t>FY 14-15</w:t>
            </w:r>
          </w:p>
        </w:tc>
        <w:tc>
          <w:tcPr>
            <w:tcW w:w="1559" w:type="dxa"/>
            <w:tcBorders>
              <w:top w:val="nil"/>
              <w:left w:val="nil"/>
              <w:bottom w:val="single" w:sz="4" w:space="0" w:color="auto"/>
              <w:right w:val="single" w:sz="4" w:space="0" w:color="auto"/>
            </w:tcBorders>
            <w:shd w:val="clear" w:color="auto" w:fill="auto"/>
            <w:noWrap/>
            <w:vAlign w:val="center"/>
            <w:hideMark/>
          </w:tcPr>
          <w:p w14:paraId="74143C8A" w14:textId="77777777" w:rsidR="00B90520" w:rsidRPr="005B77DD" w:rsidRDefault="00B90520" w:rsidP="00460015">
            <w:pPr>
              <w:jc w:val="right"/>
              <w:rPr>
                <w:rFonts w:ascii="Arial" w:eastAsia="Times New Roman" w:hAnsi="Arial" w:cs="Arial"/>
                <w:color w:val="000000"/>
                <w:sz w:val="16"/>
                <w:szCs w:val="16"/>
              </w:rPr>
            </w:pPr>
            <w:r w:rsidRPr="005B77DD">
              <w:rPr>
                <w:rFonts w:ascii="Arial" w:eastAsia="Times New Roman" w:hAnsi="Arial" w:cs="Arial"/>
                <w:color w:val="000000"/>
                <w:sz w:val="16"/>
                <w:szCs w:val="16"/>
              </w:rPr>
              <w:t>$15,662,210.67</w:t>
            </w:r>
          </w:p>
        </w:tc>
        <w:tc>
          <w:tcPr>
            <w:tcW w:w="280" w:type="dxa"/>
            <w:tcBorders>
              <w:top w:val="nil"/>
              <w:left w:val="nil"/>
              <w:bottom w:val="nil"/>
              <w:right w:val="nil"/>
            </w:tcBorders>
            <w:shd w:val="clear" w:color="auto" w:fill="auto"/>
            <w:noWrap/>
            <w:vAlign w:val="center"/>
            <w:hideMark/>
          </w:tcPr>
          <w:p w14:paraId="47636787" w14:textId="77777777" w:rsidR="00B90520" w:rsidRPr="005B77DD" w:rsidRDefault="00B90520" w:rsidP="00460015">
            <w:pPr>
              <w:jc w:val="right"/>
              <w:rPr>
                <w:rFonts w:ascii="Arial" w:eastAsia="Times New Roman" w:hAnsi="Arial" w:cs="Arial"/>
                <w:color w:val="000000"/>
                <w:sz w:val="16"/>
                <w:szCs w:val="16"/>
              </w:rPr>
            </w:pPr>
          </w:p>
        </w:tc>
        <w:tc>
          <w:tcPr>
            <w:tcW w:w="1557" w:type="dxa"/>
            <w:tcBorders>
              <w:top w:val="nil"/>
              <w:left w:val="nil"/>
              <w:bottom w:val="nil"/>
              <w:right w:val="nil"/>
            </w:tcBorders>
            <w:shd w:val="clear" w:color="auto" w:fill="auto"/>
            <w:noWrap/>
            <w:vAlign w:val="center"/>
            <w:hideMark/>
          </w:tcPr>
          <w:p w14:paraId="4B878760" w14:textId="77777777" w:rsidR="00B90520" w:rsidRPr="005B77DD" w:rsidRDefault="00B90520" w:rsidP="00460015">
            <w:pPr>
              <w:rPr>
                <w:rFonts w:ascii="Times New Roman" w:eastAsia="Times New Roman" w:hAnsi="Times New Roman" w:cs="Times New Roman"/>
                <w:sz w:val="20"/>
                <w:szCs w:val="20"/>
              </w:rPr>
            </w:pPr>
          </w:p>
        </w:tc>
        <w:tc>
          <w:tcPr>
            <w:tcW w:w="1423" w:type="dxa"/>
            <w:gridSpan w:val="2"/>
            <w:tcBorders>
              <w:top w:val="nil"/>
              <w:left w:val="nil"/>
              <w:bottom w:val="nil"/>
              <w:right w:val="nil"/>
            </w:tcBorders>
            <w:shd w:val="clear" w:color="auto" w:fill="auto"/>
            <w:noWrap/>
            <w:vAlign w:val="center"/>
            <w:hideMark/>
          </w:tcPr>
          <w:p w14:paraId="296145D8" w14:textId="77777777" w:rsidR="00B90520" w:rsidRPr="005B77DD" w:rsidRDefault="00B90520" w:rsidP="00460015">
            <w:pPr>
              <w:rPr>
                <w:rFonts w:ascii="Times New Roman" w:eastAsia="Times New Roman" w:hAnsi="Times New Roman" w:cs="Times New Roman"/>
                <w:sz w:val="20"/>
                <w:szCs w:val="20"/>
              </w:rPr>
            </w:pPr>
          </w:p>
        </w:tc>
      </w:tr>
      <w:tr w:rsidR="00B90520" w:rsidRPr="005B77DD" w14:paraId="20C36DD8" w14:textId="77777777" w:rsidTr="00460015">
        <w:trPr>
          <w:trHeight w:val="274"/>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74D09F4A" w14:textId="77777777" w:rsidR="00B90520" w:rsidRPr="005B77DD" w:rsidRDefault="00B90520" w:rsidP="00460015">
            <w:pPr>
              <w:rPr>
                <w:rFonts w:ascii="Arial" w:eastAsia="Times New Roman" w:hAnsi="Arial" w:cs="Arial"/>
                <w:color w:val="000000"/>
                <w:sz w:val="16"/>
                <w:szCs w:val="16"/>
              </w:rPr>
            </w:pPr>
            <w:r w:rsidRPr="005B77DD">
              <w:rPr>
                <w:rFonts w:ascii="Arial" w:eastAsia="Times New Roman" w:hAnsi="Arial" w:cs="Arial"/>
                <w:color w:val="000000"/>
                <w:sz w:val="16"/>
                <w:szCs w:val="16"/>
              </w:rPr>
              <w:t>FY 15-16</w:t>
            </w:r>
          </w:p>
        </w:tc>
        <w:tc>
          <w:tcPr>
            <w:tcW w:w="1559" w:type="dxa"/>
            <w:tcBorders>
              <w:top w:val="nil"/>
              <w:left w:val="nil"/>
              <w:bottom w:val="single" w:sz="4" w:space="0" w:color="auto"/>
              <w:right w:val="single" w:sz="4" w:space="0" w:color="auto"/>
            </w:tcBorders>
            <w:shd w:val="clear" w:color="auto" w:fill="auto"/>
            <w:noWrap/>
            <w:vAlign w:val="center"/>
            <w:hideMark/>
          </w:tcPr>
          <w:p w14:paraId="027BC51C" w14:textId="77777777" w:rsidR="00B90520" w:rsidRPr="005B77DD" w:rsidRDefault="00B90520" w:rsidP="00460015">
            <w:pPr>
              <w:jc w:val="right"/>
              <w:rPr>
                <w:rFonts w:ascii="Arial" w:eastAsia="Times New Roman" w:hAnsi="Arial" w:cs="Arial"/>
                <w:color w:val="000000"/>
                <w:sz w:val="16"/>
                <w:szCs w:val="16"/>
              </w:rPr>
            </w:pPr>
            <w:r w:rsidRPr="005B77DD">
              <w:rPr>
                <w:rFonts w:ascii="Arial" w:eastAsia="Times New Roman" w:hAnsi="Arial" w:cs="Arial"/>
                <w:color w:val="000000"/>
                <w:sz w:val="16"/>
                <w:szCs w:val="16"/>
              </w:rPr>
              <w:t>$7,601,229.58</w:t>
            </w:r>
          </w:p>
        </w:tc>
        <w:tc>
          <w:tcPr>
            <w:tcW w:w="280" w:type="dxa"/>
            <w:tcBorders>
              <w:top w:val="nil"/>
              <w:left w:val="nil"/>
              <w:bottom w:val="nil"/>
              <w:right w:val="nil"/>
            </w:tcBorders>
            <w:shd w:val="clear" w:color="auto" w:fill="auto"/>
            <w:noWrap/>
            <w:vAlign w:val="center"/>
            <w:hideMark/>
          </w:tcPr>
          <w:p w14:paraId="614573F3" w14:textId="77777777" w:rsidR="00B90520" w:rsidRPr="005B77DD" w:rsidRDefault="00B90520" w:rsidP="00460015">
            <w:pPr>
              <w:jc w:val="right"/>
              <w:rPr>
                <w:rFonts w:ascii="Arial" w:eastAsia="Times New Roman" w:hAnsi="Arial" w:cs="Arial"/>
                <w:color w:val="000000"/>
                <w:sz w:val="16"/>
                <w:szCs w:val="16"/>
              </w:rPr>
            </w:pPr>
          </w:p>
        </w:tc>
        <w:tc>
          <w:tcPr>
            <w:tcW w:w="1557" w:type="dxa"/>
            <w:tcBorders>
              <w:top w:val="nil"/>
              <w:left w:val="nil"/>
              <w:bottom w:val="nil"/>
              <w:right w:val="nil"/>
            </w:tcBorders>
            <w:shd w:val="clear" w:color="auto" w:fill="auto"/>
            <w:noWrap/>
            <w:vAlign w:val="center"/>
            <w:hideMark/>
          </w:tcPr>
          <w:p w14:paraId="407E14A3" w14:textId="77777777" w:rsidR="00B90520" w:rsidRPr="005B77DD" w:rsidRDefault="00B90520" w:rsidP="00460015">
            <w:pPr>
              <w:rPr>
                <w:rFonts w:ascii="Times New Roman" w:eastAsia="Times New Roman" w:hAnsi="Times New Roman" w:cs="Times New Roman"/>
                <w:sz w:val="20"/>
                <w:szCs w:val="20"/>
              </w:rPr>
            </w:pPr>
          </w:p>
        </w:tc>
        <w:tc>
          <w:tcPr>
            <w:tcW w:w="1423" w:type="dxa"/>
            <w:gridSpan w:val="2"/>
            <w:tcBorders>
              <w:top w:val="nil"/>
              <w:left w:val="nil"/>
              <w:bottom w:val="nil"/>
              <w:right w:val="nil"/>
            </w:tcBorders>
            <w:shd w:val="clear" w:color="auto" w:fill="auto"/>
            <w:noWrap/>
            <w:vAlign w:val="center"/>
            <w:hideMark/>
          </w:tcPr>
          <w:p w14:paraId="3FEA7626" w14:textId="77777777" w:rsidR="00B90520" w:rsidRPr="005B77DD" w:rsidRDefault="00B90520" w:rsidP="00460015">
            <w:pPr>
              <w:rPr>
                <w:rFonts w:ascii="Times New Roman" w:eastAsia="Times New Roman" w:hAnsi="Times New Roman" w:cs="Times New Roman"/>
                <w:sz w:val="20"/>
                <w:szCs w:val="20"/>
              </w:rPr>
            </w:pPr>
          </w:p>
        </w:tc>
      </w:tr>
      <w:tr w:rsidR="00B90520" w:rsidRPr="005B77DD" w14:paraId="70017228" w14:textId="77777777" w:rsidTr="00460015">
        <w:trPr>
          <w:trHeight w:val="274"/>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0459A960" w14:textId="77777777" w:rsidR="00B90520" w:rsidRPr="005B77DD" w:rsidRDefault="00B90520" w:rsidP="00460015">
            <w:pPr>
              <w:rPr>
                <w:rFonts w:ascii="Arial" w:eastAsia="Times New Roman" w:hAnsi="Arial" w:cs="Arial"/>
                <w:color w:val="000000"/>
                <w:sz w:val="16"/>
                <w:szCs w:val="16"/>
              </w:rPr>
            </w:pPr>
            <w:r w:rsidRPr="005B77DD">
              <w:rPr>
                <w:rFonts w:ascii="Arial" w:eastAsia="Times New Roman" w:hAnsi="Arial" w:cs="Arial"/>
                <w:color w:val="000000"/>
                <w:sz w:val="16"/>
                <w:szCs w:val="16"/>
              </w:rPr>
              <w:t>FY 16-17</w:t>
            </w:r>
          </w:p>
        </w:tc>
        <w:tc>
          <w:tcPr>
            <w:tcW w:w="1559" w:type="dxa"/>
            <w:tcBorders>
              <w:top w:val="nil"/>
              <w:left w:val="nil"/>
              <w:bottom w:val="single" w:sz="4" w:space="0" w:color="auto"/>
              <w:right w:val="single" w:sz="4" w:space="0" w:color="auto"/>
            </w:tcBorders>
            <w:shd w:val="clear" w:color="auto" w:fill="auto"/>
            <w:noWrap/>
            <w:vAlign w:val="center"/>
            <w:hideMark/>
          </w:tcPr>
          <w:p w14:paraId="7EC37A4C" w14:textId="77777777" w:rsidR="00B90520" w:rsidRPr="005B77DD" w:rsidRDefault="00B90520" w:rsidP="00460015">
            <w:pPr>
              <w:jc w:val="right"/>
              <w:rPr>
                <w:rFonts w:ascii="Arial" w:eastAsia="Times New Roman" w:hAnsi="Arial" w:cs="Arial"/>
                <w:color w:val="000000"/>
                <w:sz w:val="16"/>
                <w:szCs w:val="16"/>
              </w:rPr>
            </w:pPr>
            <w:r w:rsidRPr="005B77DD">
              <w:rPr>
                <w:rFonts w:ascii="Arial" w:eastAsia="Times New Roman" w:hAnsi="Arial" w:cs="Arial"/>
                <w:color w:val="000000"/>
                <w:sz w:val="16"/>
                <w:szCs w:val="16"/>
              </w:rPr>
              <w:t>$7,089,786.05</w:t>
            </w:r>
          </w:p>
        </w:tc>
        <w:tc>
          <w:tcPr>
            <w:tcW w:w="280" w:type="dxa"/>
            <w:tcBorders>
              <w:top w:val="nil"/>
              <w:left w:val="nil"/>
              <w:bottom w:val="nil"/>
              <w:right w:val="nil"/>
            </w:tcBorders>
            <w:shd w:val="clear" w:color="auto" w:fill="auto"/>
            <w:noWrap/>
            <w:vAlign w:val="center"/>
            <w:hideMark/>
          </w:tcPr>
          <w:p w14:paraId="2C37BF2E" w14:textId="77777777" w:rsidR="00B90520" w:rsidRPr="005B77DD" w:rsidRDefault="00B90520" w:rsidP="00460015">
            <w:pPr>
              <w:jc w:val="right"/>
              <w:rPr>
                <w:rFonts w:ascii="Arial" w:eastAsia="Times New Roman" w:hAnsi="Arial" w:cs="Arial"/>
                <w:color w:val="000000"/>
                <w:sz w:val="16"/>
                <w:szCs w:val="16"/>
              </w:rPr>
            </w:pPr>
          </w:p>
        </w:tc>
        <w:tc>
          <w:tcPr>
            <w:tcW w:w="1557" w:type="dxa"/>
            <w:tcBorders>
              <w:top w:val="nil"/>
              <w:left w:val="nil"/>
              <w:bottom w:val="nil"/>
              <w:right w:val="nil"/>
            </w:tcBorders>
            <w:shd w:val="clear" w:color="auto" w:fill="auto"/>
            <w:noWrap/>
            <w:vAlign w:val="center"/>
            <w:hideMark/>
          </w:tcPr>
          <w:p w14:paraId="71AE0E11" w14:textId="77777777" w:rsidR="00B90520" w:rsidRPr="005B77DD" w:rsidRDefault="00B90520" w:rsidP="00460015">
            <w:pPr>
              <w:rPr>
                <w:rFonts w:ascii="Times New Roman" w:eastAsia="Times New Roman" w:hAnsi="Times New Roman" w:cs="Times New Roman"/>
                <w:sz w:val="20"/>
                <w:szCs w:val="20"/>
              </w:rPr>
            </w:pPr>
          </w:p>
        </w:tc>
        <w:tc>
          <w:tcPr>
            <w:tcW w:w="1423" w:type="dxa"/>
            <w:gridSpan w:val="2"/>
            <w:tcBorders>
              <w:top w:val="nil"/>
              <w:left w:val="nil"/>
              <w:bottom w:val="nil"/>
              <w:right w:val="nil"/>
            </w:tcBorders>
            <w:shd w:val="clear" w:color="auto" w:fill="auto"/>
            <w:noWrap/>
            <w:vAlign w:val="center"/>
            <w:hideMark/>
          </w:tcPr>
          <w:p w14:paraId="3D5E9185" w14:textId="77777777" w:rsidR="00B90520" w:rsidRPr="005B77DD" w:rsidRDefault="00B90520" w:rsidP="00460015">
            <w:pPr>
              <w:rPr>
                <w:rFonts w:ascii="Times New Roman" w:eastAsia="Times New Roman" w:hAnsi="Times New Roman" w:cs="Times New Roman"/>
                <w:sz w:val="20"/>
                <w:szCs w:val="20"/>
              </w:rPr>
            </w:pPr>
          </w:p>
        </w:tc>
      </w:tr>
      <w:tr w:rsidR="00B90520" w:rsidRPr="005B77DD" w14:paraId="19649E39" w14:textId="77777777" w:rsidTr="00460015">
        <w:trPr>
          <w:trHeight w:val="274"/>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02855661" w14:textId="77777777" w:rsidR="00B90520" w:rsidRPr="005B77DD" w:rsidRDefault="00B90520" w:rsidP="00460015">
            <w:pPr>
              <w:rPr>
                <w:rFonts w:ascii="Arial" w:eastAsia="Times New Roman" w:hAnsi="Arial" w:cs="Arial"/>
                <w:color w:val="000000"/>
                <w:sz w:val="16"/>
                <w:szCs w:val="16"/>
              </w:rPr>
            </w:pPr>
            <w:r w:rsidRPr="005B77DD">
              <w:rPr>
                <w:rFonts w:ascii="Arial" w:eastAsia="Times New Roman" w:hAnsi="Arial" w:cs="Arial"/>
                <w:color w:val="000000"/>
                <w:sz w:val="16"/>
                <w:szCs w:val="16"/>
              </w:rPr>
              <w:t>FY 17-18</w:t>
            </w:r>
          </w:p>
        </w:tc>
        <w:tc>
          <w:tcPr>
            <w:tcW w:w="1559" w:type="dxa"/>
            <w:tcBorders>
              <w:top w:val="nil"/>
              <w:left w:val="nil"/>
              <w:bottom w:val="single" w:sz="4" w:space="0" w:color="auto"/>
              <w:right w:val="single" w:sz="4" w:space="0" w:color="auto"/>
            </w:tcBorders>
            <w:shd w:val="clear" w:color="auto" w:fill="auto"/>
            <w:noWrap/>
            <w:vAlign w:val="center"/>
            <w:hideMark/>
          </w:tcPr>
          <w:p w14:paraId="504F85CE" w14:textId="77777777" w:rsidR="00B90520" w:rsidRPr="005B77DD" w:rsidRDefault="00B90520" w:rsidP="00460015">
            <w:pPr>
              <w:jc w:val="right"/>
              <w:rPr>
                <w:rFonts w:ascii="Arial" w:eastAsia="Times New Roman" w:hAnsi="Arial" w:cs="Arial"/>
                <w:color w:val="000000"/>
                <w:sz w:val="16"/>
                <w:szCs w:val="16"/>
              </w:rPr>
            </w:pPr>
            <w:r w:rsidRPr="005B77DD">
              <w:rPr>
                <w:rFonts w:ascii="Arial" w:eastAsia="Times New Roman" w:hAnsi="Arial" w:cs="Arial"/>
                <w:color w:val="000000"/>
                <w:sz w:val="16"/>
                <w:szCs w:val="16"/>
              </w:rPr>
              <w:t>$6,569,277.59</w:t>
            </w:r>
          </w:p>
        </w:tc>
        <w:tc>
          <w:tcPr>
            <w:tcW w:w="280" w:type="dxa"/>
            <w:tcBorders>
              <w:top w:val="nil"/>
              <w:left w:val="nil"/>
              <w:bottom w:val="nil"/>
              <w:right w:val="nil"/>
            </w:tcBorders>
            <w:shd w:val="clear" w:color="auto" w:fill="auto"/>
            <w:noWrap/>
            <w:vAlign w:val="center"/>
            <w:hideMark/>
          </w:tcPr>
          <w:p w14:paraId="15CCFD04" w14:textId="77777777" w:rsidR="00B90520" w:rsidRPr="005B77DD" w:rsidRDefault="00B90520" w:rsidP="00460015">
            <w:pPr>
              <w:jc w:val="right"/>
              <w:rPr>
                <w:rFonts w:ascii="Arial" w:eastAsia="Times New Roman" w:hAnsi="Arial" w:cs="Arial"/>
                <w:color w:val="000000"/>
                <w:sz w:val="16"/>
                <w:szCs w:val="16"/>
              </w:rPr>
            </w:pPr>
          </w:p>
        </w:tc>
        <w:tc>
          <w:tcPr>
            <w:tcW w:w="1557" w:type="dxa"/>
            <w:tcBorders>
              <w:top w:val="nil"/>
              <w:left w:val="nil"/>
              <w:bottom w:val="nil"/>
              <w:right w:val="nil"/>
            </w:tcBorders>
            <w:shd w:val="clear" w:color="auto" w:fill="auto"/>
            <w:noWrap/>
            <w:vAlign w:val="center"/>
            <w:hideMark/>
          </w:tcPr>
          <w:p w14:paraId="74135060" w14:textId="77777777" w:rsidR="00B90520" w:rsidRPr="005B77DD" w:rsidRDefault="00B90520" w:rsidP="00460015">
            <w:pPr>
              <w:rPr>
                <w:rFonts w:ascii="Times New Roman" w:eastAsia="Times New Roman" w:hAnsi="Times New Roman" w:cs="Times New Roman"/>
                <w:sz w:val="20"/>
                <w:szCs w:val="20"/>
              </w:rPr>
            </w:pPr>
          </w:p>
        </w:tc>
        <w:tc>
          <w:tcPr>
            <w:tcW w:w="1423" w:type="dxa"/>
            <w:gridSpan w:val="2"/>
            <w:tcBorders>
              <w:top w:val="nil"/>
              <w:left w:val="nil"/>
              <w:bottom w:val="nil"/>
              <w:right w:val="nil"/>
            </w:tcBorders>
            <w:shd w:val="clear" w:color="auto" w:fill="auto"/>
            <w:noWrap/>
            <w:vAlign w:val="center"/>
            <w:hideMark/>
          </w:tcPr>
          <w:p w14:paraId="23FF6F7C" w14:textId="77777777" w:rsidR="00B90520" w:rsidRPr="005B77DD" w:rsidRDefault="00B90520" w:rsidP="00460015">
            <w:pPr>
              <w:rPr>
                <w:rFonts w:ascii="Times New Roman" w:eastAsia="Times New Roman" w:hAnsi="Times New Roman" w:cs="Times New Roman"/>
                <w:sz w:val="20"/>
                <w:szCs w:val="20"/>
              </w:rPr>
            </w:pPr>
          </w:p>
        </w:tc>
      </w:tr>
      <w:tr w:rsidR="00B90520" w:rsidRPr="005B77DD" w14:paraId="488C1DE4" w14:textId="77777777" w:rsidTr="00460015">
        <w:trPr>
          <w:trHeight w:val="274"/>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4416B0B2" w14:textId="77777777" w:rsidR="00B90520" w:rsidRPr="005B77DD" w:rsidRDefault="00B90520" w:rsidP="00460015">
            <w:pPr>
              <w:rPr>
                <w:rFonts w:ascii="Arial" w:eastAsia="Times New Roman" w:hAnsi="Arial" w:cs="Arial"/>
                <w:color w:val="000000"/>
                <w:sz w:val="16"/>
                <w:szCs w:val="16"/>
              </w:rPr>
            </w:pPr>
            <w:r w:rsidRPr="005B77DD">
              <w:rPr>
                <w:rFonts w:ascii="Arial" w:eastAsia="Times New Roman" w:hAnsi="Arial" w:cs="Arial"/>
                <w:color w:val="000000"/>
                <w:sz w:val="16"/>
                <w:szCs w:val="16"/>
              </w:rPr>
              <w:t>FY 18-19</w:t>
            </w:r>
          </w:p>
        </w:tc>
        <w:tc>
          <w:tcPr>
            <w:tcW w:w="1559" w:type="dxa"/>
            <w:tcBorders>
              <w:top w:val="nil"/>
              <w:left w:val="nil"/>
              <w:bottom w:val="single" w:sz="4" w:space="0" w:color="auto"/>
              <w:right w:val="single" w:sz="4" w:space="0" w:color="auto"/>
            </w:tcBorders>
            <w:shd w:val="clear" w:color="auto" w:fill="auto"/>
            <w:noWrap/>
            <w:vAlign w:val="center"/>
            <w:hideMark/>
          </w:tcPr>
          <w:p w14:paraId="35857B26" w14:textId="77777777" w:rsidR="00B90520" w:rsidRPr="005B77DD" w:rsidRDefault="00B90520" w:rsidP="00460015">
            <w:pPr>
              <w:jc w:val="right"/>
              <w:rPr>
                <w:rFonts w:ascii="Arial" w:eastAsia="Times New Roman" w:hAnsi="Arial" w:cs="Arial"/>
                <w:color w:val="000000"/>
                <w:sz w:val="16"/>
                <w:szCs w:val="16"/>
              </w:rPr>
            </w:pPr>
            <w:r w:rsidRPr="005B77DD">
              <w:rPr>
                <w:rFonts w:ascii="Arial" w:eastAsia="Times New Roman" w:hAnsi="Arial" w:cs="Arial"/>
                <w:color w:val="000000"/>
                <w:sz w:val="16"/>
                <w:szCs w:val="16"/>
              </w:rPr>
              <w:t>$4,701,686.20</w:t>
            </w:r>
          </w:p>
        </w:tc>
        <w:tc>
          <w:tcPr>
            <w:tcW w:w="280" w:type="dxa"/>
            <w:tcBorders>
              <w:top w:val="nil"/>
              <w:left w:val="nil"/>
              <w:bottom w:val="nil"/>
              <w:right w:val="nil"/>
            </w:tcBorders>
            <w:shd w:val="clear" w:color="auto" w:fill="auto"/>
            <w:noWrap/>
            <w:vAlign w:val="center"/>
            <w:hideMark/>
          </w:tcPr>
          <w:p w14:paraId="5CD23C84" w14:textId="77777777" w:rsidR="00B90520" w:rsidRPr="005B77DD" w:rsidRDefault="00B90520" w:rsidP="00460015">
            <w:pPr>
              <w:jc w:val="right"/>
              <w:rPr>
                <w:rFonts w:ascii="Arial" w:eastAsia="Times New Roman" w:hAnsi="Arial" w:cs="Arial"/>
                <w:color w:val="000000"/>
                <w:sz w:val="16"/>
                <w:szCs w:val="16"/>
              </w:rPr>
            </w:pPr>
          </w:p>
        </w:tc>
        <w:tc>
          <w:tcPr>
            <w:tcW w:w="1557" w:type="dxa"/>
            <w:tcBorders>
              <w:top w:val="nil"/>
              <w:left w:val="nil"/>
              <w:bottom w:val="nil"/>
              <w:right w:val="nil"/>
            </w:tcBorders>
            <w:shd w:val="clear" w:color="auto" w:fill="auto"/>
            <w:noWrap/>
            <w:vAlign w:val="center"/>
            <w:hideMark/>
          </w:tcPr>
          <w:p w14:paraId="08687A62" w14:textId="77777777" w:rsidR="00B90520" w:rsidRPr="005B77DD" w:rsidRDefault="00B90520" w:rsidP="00460015">
            <w:pPr>
              <w:rPr>
                <w:rFonts w:ascii="Times New Roman" w:eastAsia="Times New Roman" w:hAnsi="Times New Roman" w:cs="Times New Roman"/>
                <w:sz w:val="20"/>
                <w:szCs w:val="20"/>
              </w:rPr>
            </w:pPr>
          </w:p>
        </w:tc>
        <w:tc>
          <w:tcPr>
            <w:tcW w:w="1423" w:type="dxa"/>
            <w:gridSpan w:val="2"/>
            <w:tcBorders>
              <w:top w:val="nil"/>
              <w:left w:val="nil"/>
              <w:bottom w:val="nil"/>
              <w:right w:val="nil"/>
            </w:tcBorders>
            <w:shd w:val="clear" w:color="auto" w:fill="auto"/>
            <w:noWrap/>
            <w:vAlign w:val="center"/>
            <w:hideMark/>
          </w:tcPr>
          <w:p w14:paraId="2B2BC0B1" w14:textId="77777777" w:rsidR="00B90520" w:rsidRPr="005B77DD" w:rsidRDefault="00B90520" w:rsidP="00460015">
            <w:pPr>
              <w:rPr>
                <w:rFonts w:ascii="Times New Roman" w:eastAsia="Times New Roman" w:hAnsi="Times New Roman" w:cs="Times New Roman"/>
                <w:sz w:val="20"/>
                <w:szCs w:val="20"/>
              </w:rPr>
            </w:pPr>
          </w:p>
        </w:tc>
      </w:tr>
      <w:tr w:rsidR="00B90520" w:rsidRPr="005B77DD" w14:paraId="1557037E" w14:textId="77777777" w:rsidTr="00460015">
        <w:trPr>
          <w:trHeight w:val="274"/>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42639AA1" w14:textId="77777777" w:rsidR="00B90520" w:rsidRPr="005B77DD" w:rsidRDefault="00B90520" w:rsidP="00460015">
            <w:pPr>
              <w:rPr>
                <w:rFonts w:ascii="Arial" w:eastAsia="Times New Roman" w:hAnsi="Arial" w:cs="Arial"/>
                <w:color w:val="000000"/>
                <w:sz w:val="16"/>
                <w:szCs w:val="16"/>
              </w:rPr>
            </w:pPr>
            <w:r w:rsidRPr="005B77DD">
              <w:rPr>
                <w:rFonts w:ascii="Arial" w:eastAsia="Times New Roman" w:hAnsi="Arial" w:cs="Arial"/>
                <w:color w:val="000000"/>
                <w:sz w:val="16"/>
                <w:szCs w:val="16"/>
              </w:rPr>
              <w:t>FY 19-20</w:t>
            </w:r>
          </w:p>
        </w:tc>
        <w:tc>
          <w:tcPr>
            <w:tcW w:w="1559" w:type="dxa"/>
            <w:tcBorders>
              <w:top w:val="nil"/>
              <w:left w:val="nil"/>
              <w:bottom w:val="single" w:sz="4" w:space="0" w:color="auto"/>
              <w:right w:val="single" w:sz="4" w:space="0" w:color="auto"/>
            </w:tcBorders>
            <w:shd w:val="clear" w:color="auto" w:fill="auto"/>
            <w:noWrap/>
            <w:vAlign w:val="center"/>
            <w:hideMark/>
          </w:tcPr>
          <w:p w14:paraId="022FF46C" w14:textId="77777777" w:rsidR="00B90520" w:rsidRPr="005B77DD" w:rsidRDefault="00B90520" w:rsidP="00460015">
            <w:pPr>
              <w:jc w:val="right"/>
              <w:rPr>
                <w:rFonts w:ascii="Arial" w:eastAsia="Times New Roman" w:hAnsi="Arial" w:cs="Arial"/>
                <w:color w:val="000000"/>
                <w:sz w:val="16"/>
                <w:szCs w:val="16"/>
              </w:rPr>
            </w:pPr>
            <w:r w:rsidRPr="005B77DD">
              <w:rPr>
                <w:rFonts w:ascii="Arial" w:eastAsia="Times New Roman" w:hAnsi="Arial" w:cs="Arial"/>
                <w:color w:val="000000"/>
                <w:sz w:val="16"/>
                <w:szCs w:val="16"/>
              </w:rPr>
              <w:t>$1,698,915.51</w:t>
            </w:r>
          </w:p>
        </w:tc>
        <w:tc>
          <w:tcPr>
            <w:tcW w:w="280" w:type="dxa"/>
            <w:tcBorders>
              <w:top w:val="nil"/>
              <w:left w:val="nil"/>
              <w:bottom w:val="nil"/>
              <w:right w:val="nil"/>
            </w:tcBorders>
            <w:shd w:val="clear" w:color="auto" w:fill="auto"/>
            <w:noWrap/>
            <w:vAlign w:val="center"/>
            <w:hideMark/>
          </w:tcPr>
          <w:p w14:paraId="04C09639" w14:textId="77777777" w:rsidR="00B90520" w:rsidRPr="005B77DD" w:rsidRDefault="00B90520" w:rsidP="00460015">
            <w:pPr>
              <w:jc w:val="right"/>
              <w:rPr>
                <w:rFonts w:ascii="Arial" w:eastAsia="Times New Roman" w:hAnsi="Arial" w:cs="Arial"/>
                <w:color w:val="000000"/>
                <w:sz w:val="16"/>
                <w:szCs w:val="16"/>
              </w:rPr>
            </w:pPr>
          </w:p>
        </w:tc>
        <w:tc>
          <w:tcPr>
            <w:tcW w:w="1557" w:type="dxa"/>
            <w:tcBorders>
              <w:top w:val="nil"/>
              <w:left w:val="nil"/>
              <w:bottom w:val="nil"/>
              <w:right w:val="nil"/>
            </w:tcBorders>
            <w:shd w:val="clear" w:color="auto" w:fill="auto"/>
            <w:noWrap/>
            <w:vAlign w:val="center"/>
            <w:hideMark/>
          </w:tcPr>
          <w:p w14:paraId="6B4FCB05" w14:textId="77777777" w:rsidR="00B90520" w:rsidRPr="005B77DD" w:rsidRDefault="00B90520" w:rsidP="00460015">
            <w:pPr>
              <w:rPr>
                <w:rFonts w:ascii="Times New Roman" w:eastAsia="Times New Roman" w:hAnsi="Times New Roman" w:cs="Times New Roman"/>
                <w:sz w:val="20"/>
                <w:szCs w:val="20"/>
              </w:rPr>
            </w:pPr>
          </w:p>
        </w:tc>
        <w:tc>
          <w:tcPr>
            <w:tcW w:w="1423" w:type="dxa"/>
            <w:gridSpan w:val="2"/>
            <w:tcBorders>
              <w:top w:val="nil"/>
              <w:left w:val="nil"/>
              <w:bottom w:val="nil"/>
              <w:right w:val="nil"/>
            </w:tcBorders>
            <w:shd w:val="clear" w:color="auto" w:fill="auto"/>
            <w:noWrap/>
            <w:vAlign w:val="center"/>
            <w:hideMark/>
          </w:tcPr>
          <w:p w14:paraId="6F2C6621" w14:textId="77777777" w:rsidR="00B90520" w:rsidRPr="005B77DD" w:rsidRDefault="00B90520" w:rsidP="00460015">
            <w:pPr>
              <w:rPr>
                <w:rFonts w:ascii="Times New Roman" w:eastAsia="Times New Roman" w:hAnsi="Times New Roman" w:cs="Times New Roman"/>
                <w:sz w:val="20"/>
                <w:szCs w:val="20"/>
              </w:rPr>
            </w:pPr>
          </w:p>
        </w:tc>
      </w:tr>
      <w:tr w:rsidR="00B90520" w:rsidRPr="005B77DD" w14:paraId="06E626D0" w14:textId="77777777" w:rsidTr="00460015">
        <w:trPr>
          <w:trHeight w:val="274"/>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462DA3DB" w14:textId="77777777" w:rsidR="00B90520" w:rsidRPr="00901209" w:rsidRDefault="00B90520" w:rsidP="00460015">
            <w:pPr>
              <w:rPr>
                <w:rFonts w:ascii="Arial" w:eastAsia="Times New Roman" w:hAnsi="Arial" w:cs="Arial"/>
                <w:sz w:val="16"/>
                <w:szCs w:val="16"/>
              </w:rPr>
            </w:pPr>
            <w:r w:rsidRPr="00901209">
              <w:rPr>
                <w:rFonts w:ascii="Arial" w:eastAsia="Times New Roman" w:hAnsi="Arial" w:cs="Arial"/>
                <w:sz w:val="16"/>
                <w:szCs w:val="16"/>
              </w:rPr>
              <w:t>FY 20-21</w:t>
            </w:r>
          </w:p>
        </w:tc>
        <w:tc>
          <w:tcPr>
            <w:tcW w:w="1559" w:type="dxa"/>
            <w:tcBorders>
              <w:top w:val="nil"/>
              <w:left w:val="nil"/>
              <w:bottom w:val="single" w:sz="4" w:space="0" w:color="auto"/>
              <w:right w:val="single" w:sz="4" w:space="0" w:color="auto"/>
            </w:tcBorders>
            <w:shd w:val="clear" w:color="auto" w:fill="auto"/>
            <w:noWrap/>
            <w:vAlign w:val="center"/>
            <w:hideMark/>
          </w:tcPr>
          <w:p w14:paraId="5FF3F368" w14:textId="77777777" w:rsidR="00B90520" w:rsidRPr="006507A9" w:rsidRDefault="00B90520" w:rsidP="00460015">
            <w:pPr>
              <w:jc w:val="right"/>
              <w:rPr>
                <w:rFonts w:ascii="Arial" w:eastAsia="Times New Roman" w:hAnsi="Arial" w:cs="Arial"/>
                <w:color w:val="000000"/>
                <w:sz w:val="16"/>
                <w:szCs w:val="16"/>
              </w:rPr>
            </w:pPr>
            <w:r>
              <w:rPr>
                <w:rFonts w:ascii="Arial" w:eastAsia="Times New Roman" w:hAnsi="Arial" w:cs="Arial"/>
                <w:color w:val="000000"/>
                <w:sz w:val="16"/>
                <w:szCs w:val="16"/>
              </w:rPr>
              <w:t>$</w:t>
            </w:r>
            <w:r w:rsidRPr="006507A9">
              <w:rPr>
                <w:rFonts w:ascii="Arial" w:eastAsia="Times New Roman" w:hAnsi="Arial" w:cs="Arial"/>
                <w:color w:val="000000"/>
                <w:sz w:val="16"/>
                <w:szCs w:val="16"/>
              </w:rPr>
              <w:t>230,074.68</w:t>
            </w:r>
          </w:p>
        </w:tc>
        <w:tc>
          <w:tcPr>
            <w:tcW w:w="280" w:type="dxa"/>
            <w:tcBorders>
              <w:top w:val="nil"/>
              <w:left w:val="nil"/>
              <w:bottom w:val="nil"/>
              <w:right w:val="nil"/>
            </w:tcBorders>
            <w:shd w:val="clear" w:color="auto" w:fill="auto"/>
            <w:noWrap/>
            <w:vAlign w:val="center"/>
            <w:hideMark/>
          </w:tcPr>
          <w:p w14:paraId="2CCDB75F" w14:textId="77777777" w:rsidR="00B90520" w:rsidRPr="005B77DD" w:rsidRDefault="00B90520" w:rsidP="00460015">
            <w:pPr>
              <w:jc w:val="right"/>
              <w:rPr>
                <w:rFonts w:ascii="Times New Roman" w:eastAsia="Times New Roman" w:hAnsi="Times New Roman" w:cs="Times New Roman"/>
                <w:color w:val="000000"/>
                <w:sz w:val="20"/>
                <w:szCs w:val="20"/>
              </w:rPr>
            </w:pPr>
          </w:p>
        </w:tc>
        <w:tc>
          <w:tcPr>
            <w:tcW w:w="1557" w:type="dxa"/>
            <w:tcBorders>
              <w:top w:val="nil"/>
              <w:left w:val="nil"/>
              <w:bottom w:val="nil"/>
              <w:right w:val="nil"/>
            </w:tcBorders>
            <w:shd w:val="clear" w:color="auto" w:fill="auto"/>
            <w:noWrap/>
            <w:vAlign w:val="center"/>
            <w:hideMark/>
          </w:tcPr>
          <w:p w14:paraId="6B008223" w14:textId="77777777" w:rsidR="00B90520" w:rsidRPr="005B77DD" w:rsidRDefault="00B90520" w:rsidP="00460015">
            <w:pPr>
              <w:rPr>
                <w:rFonts w:ascii="Times New Roman" w:eastAsia="Times New Roman" w:hAnsi="Times New Roman" w:cs="Times New Roman"/>
                <w:sz w:val="20"/>
                <w:szCs w:val="20"/>
              </w:rPr>
            </w:pPr>
          </w:p>
        </w:tc>
        <w:tc>
          <w:tcPr>
            <w:tcW w:w="1423" w:type="dxa"/>
            <w:gridSpan w:val="2"/>
            <w:tcBorders>
              <w:top w:val="nil"/>
              <w:left w:val="nil"/>
              <w:bottom w:val="nil"/>
              <w:right w:val="nil"/>
            </w:tcBorders>
            <w:shd w:val="clear" w:color="auto" w:fill="auto"/>
            <w:noWrap/>
            <w:vAlign w:val="center"/>
            <w:hideMark/>
          </w:tcPr>
          <w:p w14:paraId="0D8D75A0" w14:textId="77777777" w:rsidR="00B90520" w:rsidRPr="005B77DD" w:rsidRDefault="00B90520" w:rsidP="00460015">
            <w:pPr>
              <w:rPr>
                <w:rFonts w:ascii="Times New Roman" w:eastAsia="Times New Roman" w:hAnsi="Times New Roman" w:cs="Times New Roman"/>
                <w:sz w:val="20"/>
                <w:szCs w:val="20"/>
              </w:rPr>
            </w:pPr>
          </w:p>
        </w:tc>
      </w:tr>
      <w:tr w:rsidR="00B90520" w:rsidRPr="005B77DD" w14:paraId="4BBEA538" w14:textId="77777777" w:rsidTr="00460015">
        <w:trPr>
          <w:trHeight w:val="274"/>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466BA911" w14:textId="77777777" w:rsidR="00B90520" w:rsidRPr="00901209" w:rsidRDefault="00B90520" w:rsidP="00460015">
            <w:pPr>
              <w:rPr>
                <w:rFonts w:ascii="Arial" w:eastAsia="Times New Roman" w:hAnsi="Arial" w:cs="Arial"/>
                <w:sz w:val="16"/>
                <w:szCs w:val="16"/>
              </w:rPr>
            </w:pPr>
            <w:r w:rsidRPr="00901209">
              <w:rPr>
                <w:rFonts w:ascii="Arial" w:eastAsia="Times New Roman" w:hAnsi="Arial" w:cs="Arial"/>
                <w:sz w:val="16"/>
                <w:szCs w:val="16"/>
              </w:rPr>
              <w:t>FY 21-22</w:t>
            </w:r>
          </w:p>
        </w:tc>
        <w:tc>
          <w:tcPr>
            <w:tcW w:w="1559" w:type="dxa"/>
            <w:tcBorders>
              <w:top w:val="nil"/>
              <w:left w:val="nil"/>
              <w:bottom w:val="single" w:sz="4" w:space="0" w:color="auto"/>
              <w:right w:val="single" w:sz="4" w:space="0" w:color="auto"/>
            </w:tcBorders>
            <w:shd w:val="clear" w:color="auto" w:fill="auto"/>
            <w:noWrap/>
            <w:vAlign w:val="center"/>
            <w:hideMark/>
          </w:tcPr>
          <w:p w14:paraId="2B41D129" w14:textId="77777777" w:rsidR="00B90520" w:rsidRPr="006507A9" w:rsidRDefault="00B90520" w:rsidP="00460015">
            <w:pPr>
              <w:jc w:val="right"/>
              <w:rPr>
                <w:rFonts w:ascii="Arial" w:eastAsia="Times New Roman" w:hAnsi="Arial" w:cs="Arial"/>
                <w:color w:val="000000"/>
                <w:sz w:val="16"/>
                <w:szCs w:val="16"/>
              </w:rPr>
            </w:pPr>
            <w:r>
              <w:rPr>
                <w:rFonts w:ascii="Arial" w:eastAsia="Times New Roman" w:hAnsi="Arial" w:cs="Arial"/>
                <w:color w:val="000000"/>
                <w:sz w:val="16"/>
                <w:szCs w:val="16"/>
              </w:rPr>
              <w:t>$</w:t>
            </w:r>
            <w:r w:rsidRPr="006507A9">
              <w:rPr>
                <w:rFonts w:ascii="Arial" w:eastAsia="Times New Roman" w:hAnsi="Arial" w:cs="Arial"/>
                <w:color w:val="000000"/>
                <w:sz w:val="16"/>
                <w:szCs w:val="16"/>
              </w:rPr>
              <w:t>3,208,976.35</w:t>
            </w:r>
          </w:p>
        </w:tc>
        <w:tc>
          <w:tcPr>
            <w:tcW w:w="280" w:type="dxa"/>
            <w:tcBorders>
              <w:top w:val="nil"/>
              <w:left w:val="nil"/>
              <w:bottom w:val="nil"/>
              <w:right w:val="nil"/>
            </w:tcBorders>
            <w:shd w:val="clear" w:color="auto" w:fill="auto"/>
            <w:noWrap/>
            <w:vAlign w:val="center"/>
            <w:hideMark/>
          </w:tcPr>
          <w:p w14:paraId="1701DF86" w14:textId="77777777" w:rsidR="00B90520" w:rsidRPr="005B77DD" w:rsidRDefault="00B90520" w:rsidP="00460015">
            <w:pPr>
              <w:jc w:val="right"/>
              <w:rPr>
                <w:rFonts w:ascii="Times New Roman" w:eastAsia="Times New Roman" w:hAnsi="Times New Roman" w:cs="Times New Roman"/>
                <w:color w:val="000000"/>
                <w:sz w:val="20"/>
                <w:szCs w:val="20"/>
              </w:rPr>
            </w:pPr>
          </w:p>
        </w:tc>
        <w:tc>
          <w:tcPr>
            <w:tcW w:w="1557" w:type="dxa"/>
            <w:tcBorders>
              <w:top w:val="nil"/>
              <w:left w:val="nil"/>
              <w:bottom w:val="nil"/>
              <w:right w:val="nil"/>
            </w:tcBorders>
            <w:shd w:val="clear" w:color="auto" w:fill="auto"/>
            <w:noWrap/>
            <w:vAlign w:val="center"/>
            <w:hideMark/>
          </w:tcPr>
          <w:p w14:paraId="3DE8D20D" w14:textId="77777777" w:rsidR="00B90520" w:rsidRPr="005B77DD" w:rsidRDefault="00B90520" w:rsidP="00460015">
            <w:pPr>
              <w:rPr>
                <w:rFonts w:ascii="Times New Roman" w:eastAsia="Times New Roman" w:hAnsi="Times New Roman" w:cs="Times New Roman"/>
                <w:sz w:val="20"/>
                <w:szCs w:val="20"/>
              </w:rPr>
            </w:pPr>
          </w:p>
        </w:tc>
        <w:tc>
          <w:tcPr>
            <w:tcW w:w="1423" w:type="dxa"/>
            <w:gridSpan w:val="2"/>
            <w:tcBorders>
              <w:top w:val="nil"/>
              <w:left w:val="nil"/>
              <w:bottom w:val="nil"/>
              <w:right w:val="nil"/>
            </w:tcBorders>
            <w:shd w:val="clear" w:color="auto" w:fill="auto"/>
            <w:noWrap/>
            <w:vAlign w:val="center"/>
            <w:hideMark/>
          </w:tcPr>
          <w:p w14:paraId="27CF034F" w14:textId="77777777" w:rsidR="00B90520" w:rsidRPr="005B77DD" w:rsidRDefault="00B90520" w:rsidP="00460015">
            <w:pPr>
              <w:rPr>
                <w:rFonts w:ascii="Times New Roman" w:eastAsia="Times New Roman" w:hAnsi="Times New Roman" w:cs="Times New Roman"/>
                <w:sz w:val="20"/>
                <w:szCs w:val="20"/>
              </w:rPr>
            </w:pPr>
          </w:p>
        </w:tc>
      </w:tr>
      <w:tr w:rsidR="00B90520" w:rsidRPr="005B77DD" w14:paraId="74B99812" w14:textId="77777777" w:rsidTr="00460015">
        <w:trPr>
          <w:trHeight w:val="274"/>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6BD54609" w14:textId="77777777" w:rsidR="00B90520" w:rsidRPr="00901209" w:rsidRDefault="00B90520" w:rsidP="00460015">
            <w:pPr>
              <w:rPr>
                <w:rFonts w:ascii="Arial" w:eastAsia="Times New Roman" w:hAnsi="Arial" w:cs="Arial"/>
                <w:sz w:val="16"/>
                <w:szCs w:val="16"/>
              </w:rPr>
            </w:pPr>
            <w:r w:rsidRPr="00901209">
              <w:rPr>
                <w:rFonts w:ascii="Arial" w:eastAsia="Times New Roman" w:hAnsi="Arial" w:cs="Arial"/>
                <w:sz w:val="16"/>
                <w:szCs w:val="16"/>
              </w:rPr>
              <w:t>FY 22-23</w:t>
            </w:r>
          </w:p>
        </w:tc>
        <w:tc>
          <w:tcPr>
            <w:tcW w:w="1559" w:type="dxa"/>
            <w:tcBorders>
              <w:top w:val="nil"/>
              <w:left w:val="nil"/>
              <w:bottom w:val="single" w:sz="4" w:space="0" w:color="auto"/>
              <w:right w:val="single" w:sz="4" w:space="0" w:color="auto"/>
            </w:tcBorders>
            <w:shd w:val="clear" w:color="auto" w:fill="auto"/>
            <w:noWrap/>
            <w:vAlign w:val="center"/>
            <w:hideMark/>
          </w:tcPr>
          <w:p w14:paraId="6FECA84D" w14:textId="77777777" w:rsidR="00B90520" w:rsidRPr="006507A9" w:rsidRDefault="00B90520" w:rsidP="00460015">
            <w:pPr>
              <w:jc w:val="right"/>
              <w:rPr>
                <w:rFonts w:ascii="Arial" w:eastAsia="Times New Roman" w:hAnsi="Arial" w:cs="Arial"/>
                <w:color w:val="000000"/>
                <w:sz w:val="16"/>
                <w:szCs w:val="16"/>
              </w:rPr>
            </w:pPr>
            <w:r>
              <w:rPr>
                <w:rFonts w:ascii="Arial" w:eastAsia="Times New Roman" w:hAnsi="Arial" w:cs="Arial"/>
                <w:color w:val="000000"/>
                <w:sz w:val="16"/>
                <w:szCs w:val="16"/>
              </w:rPr>
              <w:t>$</w:t>
            </w:r>
            <w:r w:rsidRPr="006507A9">
              <w:rPr>
                <w:rFonts w:ascii="Arial" w:eastAsia="Times New Roman" w:hAnsi="Arial" w:cs="Arial"/>
                <w:color w:val="000000"/>
                <w:sz w:val="16"/>
                <w:szCs w:val="16"/>
              </w:rPr>
              <w:t>4,469,894.54</w:t>
            </w:r>
          </w:p>
        </w:tc>
        <w:tc>
          <w:tcPr>
            <w:tcW w:w="280" w:type="dxa"/>
            <w:tcBorders>
              <w:top w:val="nil"/>
              <w:left w:val="nil"/>
              <w:bottom w:val="nil"/>
              <w:right w:val="nil"/>
            </w:tcBorders>
            <w:shd w:val="clear" w:color="auto" w:fill="auto"/>
            <w:noWrap/>
            <w:vAlign w:val="center"/>
            <w:hideMark/>
          </w:tcPr>
          <w:p w14:paraId="65017480" w14:textId="77777777" w:rsidR="00B90520" w:rsidRPr="005B77DD" w:rsidRDefault="00B90520" w:rsidP="00460015">
            <w:pPr>
              <w:jc w:val="right"/>
              <w:rPr>
                <w:rFonts w:ascii="Times New Roman" w:eastAsia="Times New Roman" w:hAnsi="Times New Roman" w:cs="Times New Roman"/>
                <w:color w:val="000000"/>
                <w:sz w:val="20"/>
                <w:szCs w:val="20"/>
              </w:rPr>
            </w:pPr>
          </w:p>
        </w:tc>
        <w:tc>
          <w:tcPr>
            <w:tcW w:w="1557" w:type="dxa"/>
            <w:tcBorders>
              <w:top w:val="nil"/>
              <w:left w:val="nil"/>
              <w:bottom w:val="nil"/>
              <w:right w:val="nil"/>
            </w:tcBorders>
            <w:shd w:val="clear" w:color="auto" w:fill="auto"/>
            <w:noWrap/>
            <w:vAlign w:val="center"/>
            <w:hideMark/>
          </w:tcPr>
          <w:p w14:paraId="03DF4D50" w14:textId="77777777" w:rsidR="00B90520" w:rsidRPr="005B77DD" w:rsidRDefault="00B90520" w:rsidP="00460015">
            <w:pPr>
              <w:rPr>
                <w:rFonts w:ascii="Times New Roman" w:eastAsia="Times New Roman" w:hAnsi="Times New Roman" w:cs="Times New Roman"/>
                <w:sz w:val="20"/>
                <w:szCs w:val="20"/>
              </w:rPr>
            </w:pPr>
          </w:p>
        </w:tc>
        <w:tc>
          <w:tcPr>
            <w:tcW w:w="1423" w:type="dxa"/>
            <w:gridSpan w:val="2"/>
            <w:tcBorders>
              <w:top w:val="nil"/>
              <w:left w:val="nil"/>
              <w:bottom w:val="nil"/>
              <w:right w:val="nil"/>
            </w:tcBorders>
            <w:shd w:val="clear" w:color="auto" w:fill="auto"/>
            <w:noWrap/>
            <w:vAlign w:val="center"/>
            <w:hideMark/>
          </w:tcPr>
          <w:p w14:paraId="28A59E60" w14:textId="77777777" w:rsidR="00B90520" w:rsidRPr="005B77DD" w:rsidRDefault="00B90520" w:rsidP="00460015">
            <w:pPr>
              <w:rPr>
                <w:rFonts w:ascii="Times New Roman" w:eastAsia="Times New Roman" w:hAnsi="Times New Roman" w:cs="Times New Roman"/>
                <w:sz w:val="20"/>
                <w:szCs w:val="20"/>
              </w:rPr>
            </w:pPr>
          </w:p>
        </w:tc>
      </w:tr>
    </w:tbl>
    <w:p w14:paraId="288207ED" w14:textId="77777777" w:rsidR="003D38C6" w:rsidRDefault="003D38C6" w:rsidP="00D97AE5">
      <w:pPr>
        <w:rPr>
          <w:rFonts w:cstheme="minorHAnsi"/>
          <w:b/>
          <w:sz w:val="24"/>
          <w:szCs w:val="24"/>
        </w:rPr>
      </w:pPr>
    </w:p>
    <w:p w14:paraId="6E0AC825" w14:textId="7E24F066" w:rsidR="00905E0F" w:rsidRDefault="00905E0F">
      <w:pPr>
        <w:rPr>
          <w:rFonts w:cstheme="minorHAnsi"/>
          <w:b/>
          <w:sz w:val="24"/>
          <w:szCs w:val="24"/>
        </w:rPr>
      </w:pPr>
      <w:r>
        <w:rPr>
          <w:rFonts w:cstheme="minorHAnsi"/>
          <w:b/>
          <w:sz w:val="24"/>
          <w:szCs w:val="24"/>
        </w:rPr>
        <w:br w:type="page"/>
      </w:r>
    </w:p>
    <w:p w14:paraId="013A7754" w14:textId="77777777" w:rsidR="00250B7B" w:rsidRDefault="00250B7B" w:rsidP="00250B7B">
      <w:pPr>
        <w:rPr>
          <w:rFonts w:ascii="Calibri" w:eastAsia="Times New Roman" w:hAnsi="Calibri" w:cs="Calibri"/>
          <w:b/>
          <w:sz w:val="32"/>
          <w:szCs w:val="32"/>
        </w:rPr>
      </w:pPr>
      <w:r w:rsidRPr="00D77D53">
        <w:rPr>
          <w:rFonts w:ascii="Calibri" w:eastAsia="Times New Roman" w:hAnsi="Calibri" w:cs="Calibri"/>
          <w:b/>
          <w:sz w:val="32"/>
          <w:szCs w:val="32"/>
        </w:rPr>
        <w:lastRenderedPageBreak/>
        <w:t>History of LEQTF Royalty Payments</w:t>
      </w:r>
    </w:p>
    <w:p w14:paraId="3B0083CB" w14:textId="77777777" w:rsidR="00250B7B" w:rsidRDefault="00250B7B" w:rsidP="00250B7B">
      <w:pPr>
        <w:rPr>
          <w:rFonts w:ascii="Calibri" w:eastAsia="Times New Roman" w:hAnsi="Calibri" w:cs="Calibri"/>
          <w:b/>
          <w:sz w:val="32"/>
          <w:szCs w:val="32"/>
        </w:rPr>
      </w:pPr>
      <w:r>
        <w:rPr>
          <w:noProof/>
        </w:rPr>
        <w:drawing>
          <wp:inline distT="0" distB="0" distL="0" distR="0" wp14:anchorId="5687EB84" wp14:editId="26015C10">
            <wp:extent cx="5943600" cy="3072130"/>
            <wp:effectExtent l="0" t="0" r="0" b="13970"/>
            <wp:docPr id="2146112463" name="Chart 2146112463">
              <a:extLst xmlns:a="http://schemas.openxmlformats.org/drawingml/2006/main">
                <a:ext uri="{FF2B5EF4-FFF2-40B4-BE49-F238E27FC236}">
                  <a16:creationId xmlns:a16="http://schemas.microsoft.com/office/drawing/2014/main"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33E091F" w14:textId="77777777" w:rsidR="00B90520" w:rsidRPr="006739E3" w:rsidRDefault="00B90520" w:rsidP="00D97AE5">
      <w:pPr>
        <w:rPr>
          <w:rFonts w:cstheme="minorHAnsi"/>
          <w:b/>
          <w:sz w:val="24"/>
          <w:szCs w:val="24"/>
        </w:rPr>
      </w:pPr>
    </w:p>
    <w:p w14:paraId="594B3F95" w14:textId="5608BE86" w:rsidR="007A65C0" w:rsidRDefault="007A65C0" w:rsidP="00D97AE5">
      <w:pPr>
        <w:rPr>
          <w:rFonts w:cstheme="minorHAnsi"/>
          <w:b/>
          <w:sz w:val="32"/>
          <w:szCs w:val="32"/>
        </w:rPr>
      </w:pPr>
      <w:r w:rsidRPr="00022343">
        <w:rPr>
          <w:rFonts w:cstheme="minorHAnsi"/>
          <w:b/>
          <w:sz w:val="32"/>
          <w:szCs w:val="32"/>
        </w:rPr>
        <w:t>Cumulative Allocations to Fund</w:t>
      </w:r>
    </w:p>
    <w:p w14:paraId="686AEDC3" w14:textId="59887FD5" w:rsidR="006B36AC" w:rsidRDefault="006B36AC" w:rsidP="00D97AE5">
      <w:pPr>
        <w:rPr>
          <w:rFonts w:cstheme="minorHAnsi"/>
          <w:b/>
          <w:sz w:val="32"/>
          <w:szCs w:val="32"/>
        </w:rPr>
      </w:pPr>
      <w:r>
        <w:rPr>
          <w:noProof/>
        </w:rPr>
        <w:drawing>
          <wp:inline distT="0" distB="0" distL="0" distR="0" wp14:anchorId="649CFF4B" wp14:editId="3033180A">
            <wp:extent cx="5943600" cy="4133850"/>
            <wp:effectExtent l="0" t="0" r="0" b="0"/>
            <wp:docPr id="311294037" name="Chart 1">
              <a:extLst xmlns:a="http://schemas.openxmlformats.org/drawingml/2006/main">
                <a:ext uri="{FF2B5EF4-FFF2-40B4-BE49-F238E27FC236}">
                  <a16:creationId xmlns:a16="http://schemas.microsoft.com/office/drawing/2014/main" id="{00000000-0008-0000-03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5FC4992" w14:textId="5F7320E2" w:rsidR="00D71762" w:rsidRDefault="00D71762" w:rsidP="00D97AE5">
      <w:pPr>
        <w:rPr>
          <w:rFonts w:cstheme="minorHAnsi"/>
          <w:b/>
          <w:sz w:val="32"/>
          <w:szCs w:val="32"/>
        </w:rPr>
      </w:pPr>
    </w:p>
    <w:p w14:paraId="36D321D4" w14:textId="7330EFB7" w:rsidR="005D45C1" w:rsidRPr="003D38C6" w:rsidRDefault="005D45C1" w:rsidP="00D97AE5">
      <w:pPr>
        <w:rPr>
          <w:rFonts w:cstheme="minorHAnsi"/>
          <w:b/>
          <w:sz w:val="24"/>
          <w:szCs w:val="24"/>
        </w:rPr>
      </w:pPr>
    </w:p>
    <w:p w14:paraId="730F8731" w14:textId="77777777" w:rsidR="00D67EEB" w:rsidRPr="003E27CA" w:rsidRDefault="003E27CA" w:rsidP="00D67EEB">
      <w:pPr>
        <w:jc w:val="both"/>
        <w:rPr>
          <w:rFonts w:cstheme="minorHAnsi"/>
          <w:sz w:val="36"/>
          <w:szCs w:val="36"/>
        </w:rPr>
      </w:pPr>
      <w:r>
        <w:rPr>
          <w:rFonts w:cstheme="minorHAnsi"/>
          <w:sz w:val="36"/>
          <w:szCs w:val="36"/>
        </w:rPr>
        <w:t xml:space="preserve">LEQTF </w:t>
      </w:r>
      <w:r w:rsidR="00D67EEB" w:rsidRPr="003E27CA">
        <w:rPr>
          <w:rFonts w:cstheme="minorHAnsi"/>
          <w:sz w:val="36"/>
          <w:szCs w:val="36"/>
        </w:rPr>
        <w:t>Investments Performance Comparison</w:t>
      </w:r>
    </w:p>
    <w:p w14:paraId="35C2554B" w14:textId="77777777" w:rsidR="00D67EEB" w:rsidRPr="00037C08" w:rsidRDefault="00D67EEB" w:rsidP="00D67EEB">
      <w:pPr>
        <w:jc w:val="both"/>
        <w:rPr>
          <w:rFonts w:cstheme="minorHAnsi"/>
          <w:sz w:val="24"/>
          <w:szCs w:val="24"/>
        </w:rPr>
      </w:pPr>
    </w:p>
    <w:p w14:paraId="7B4EE6B3" w14:textId="6D46652B" w:rsidR="00D67EEB" w:rsidRDefault="00D67EEB" w:rsidP="00D67EEB">
      <w:pPr>
        <w:jc w:val="both"/>
        <w:rPr>
          <w:rFonts w:cstheme="minorHAnsi"/>
          <w:sz w:val="24"/>
          <w:szCs w:val="24"/>
        </w:rPr>
      </w:pPr>
      <w:r w:rsidRPr="005E422A">
        <w:rPr>
          <w:rFonts w:cstheme="minorHAnsi"/>
          <w:sz w:val="24"/>
          <w:szCs w:val="24"/>
        </w:rPr>
        <w:t xml:space="preserve">The total return for the LEQTF in Fiscal Year </w:t>
      </w:r>
      <w:r w:rsidR="00FF0EEE">
        <w:rPr>
          <w:rFonts w:cstheme="minorHAnsi"/>
          <w:sz w:val="24"/>
          <w:szCs w:val="24"/>
        </w:rPr>
        <w:t>202</w:t>
      </w:r>
      <w:r w:rsidR="00DB1A8E">
        <w:rPr>
          <w:rFonts w:cstheme="minorHAnsi"/>
          <w:sz w:val="24"/>
          <w:szCs w:val="24"/>
        </w:rPr>
        <w:t>3</w:t>
      </w:r>
      <w:r w:rsidR="00FF0EEE">
        <w:rPr>
          <w:rFonts w:cstheme="minorHAnsi"/>
          <w:sz w:val="24"/>
          <w:szCs w:val="24"/>
        </w:rPr>
        <w:t xml:space="preserve"> </w:t>
      </w:r>
      <w:r>
        <w:rPr>
          <w:rFonts w:cstheme="minorHAnsi"/>
          <w:sz w:val="24"/>
          <w:szCs w:val="24"/>
        </w:rPr>
        <w:t xml:space="preserve">was </w:t>
      </w:r>
      <w:r w:rsidR="00DB1A8E">
        <w:rPr>
          <w:rFonts w:cstheme="minorHAnsi"/>
          <w:sz w:val="24"/>
          <w:szCs w:val="24"/>
        </w:rPr>
        <w:t>4.86</w:t>
      </w:r>
      <w:r>
        <w:rPr>
          <w:rFonts w:cstheme="minorHAnsi"/>
          <w:sz w:val="24"/>
          <w:szCs w:val="24"/>
        </w:rPr>
        <w:t xml:space="preserve"> percent. </w:t>
      </w:r>
      <w:r w:rsidRPr="00037C08">
        <w:rPr>
          <w:rFonts w:cstheme="minorHAnsi"/>
          <w:sz w:val="24"/>
          <w:szCs w:val="24"/>
        </w:rPr>
        <w:t xml:space="preserve">The LEQTF legislative benchmarks are the 30-day Treasury Bill and the Two-year Treasury Note.  The 30-day Treasury Bill returned </w:t>
      </w:r>
      <w:r w:rsidR="0007531C">
        <w:rPr>
          <w:rFonts w:cstheme="minorHAnsi"/>
          <w:sz w:val="24"/>
          <w:szCs w:val="24"/>
        </w:rPr>
        <w:t>3.70</w:t>
      </w:r>
      <w:r w:rsidRPr="00037C08">
        <w:rPr>
          <w:rFonts w:cstheme="minorHAnsi"/>
          <w:sz w:val="24"/>
          <w:szCs w:val="24"/>
        </w:rPr>
        <w:t xml:space="preserve"> percent and the Two-year Treasury Note returned </w:t>
      </w:r>
      <w:r w:rsidR="00D910A1">
        <w:rPr>
          <w:rFonts w:cstheme="minorHAnsi"/>
          <w:sz w:val="24"/>
          <w:szCs w:val="24"/>
        </w:rPr>
        <w:t>-</w:t>
      </w:r>
      <w:r w:rsidR="0007531C">
        <w:rPr>
          <w:rFonts w:cstheme="minorHAnsi"/>
          <w:sz w:val="24"/>
          <w:szCs w:val="24"/>
        </w:rPr>
        <w:t>0.60</w:t>
      </w:r>
      <w:r w:rsidRPr="00037C08">
        <w:rPr>
          <w:rFonts w:cstheme="minorHAnsi"/>
          <w:sz w:val="24"/>
          <w:szCs w:val="24"/>
        </w:rPr>
        <w:t xml:space="preserve"> percent.  </w:t>
      </w:r>
    </w:p>
    <w:p w14:paraId="1CF553AC" w14:textId="77777777" w:rsidR="00D67EEB" w:rsidRDefault="00D67EEB" w:rsidP="00D67EEB">
      <w:pPr>
        <w:jc w:val="both"/>
        <w:rPr>
          <w:rFonts w:cstheme="minorHAnsi"/>
          <w:sz w:val="24"/>
          <w:szCs w:val="24"/>
        </w:rPr>
      </w:pPr>
    </w:p>
    <w:p w14:paraId="0A979DAB" w14:textId="0FAC1227" w:rsidR="00D67EEB" w:rsidRPr="00037C08" w:rsidRDefault="00D67EEB" w:rsidP="00D67EEB">
      <w:pPr>
        <w:jc w:val="both"/>
        <w:rPr>
          <w:rFonts w:cstheme="minorHAnsi"/>
          <w:sz w:val="24"/>
          <w:szCs w:val="24"/>
        </w:rPr>
      </w:pPr>
      <w:r w:rsidRPr="00037C08">
        <w:rPr>
          <w:rFonts w:cstheme="minorHAnsi"/>
          <w:sz w:val="24"/>
          <w:szCs w:val="24"/>
        </w:rPr>
        <w:t xml:space="preserve">For </w:t>
      </w:r>
      <w:r w:rsidR="008D3B48">
        <w:rPr>
          <w:rFonts w:cstheme="minorHAnsi"/>
          <w:sz w:val="24"/>
          <w:szCs w:val="24"/>
        </w:rPr>
        <w:t>FY 202</w:t>
      </w:r>
      <w:r w:rsidR="0007531C">
        <w:rPr>
          <w:rFonts w:cstheme="minorHAnsi"/>
          <w:sz w:val="24"/>
          <w:szCs w:val="24"/>
        </w:rPr>
        <w:t>3</w:t>
      </w:r>
      <w:r w:rsidRPr="00037C08">
        <w:rPr>
          <w:rFonts w:cstheme="minorHAnsi"/>
          <w:sz w:val="24"/>
          <w:szCs w:val="24"/>
        </w:rPr>
        <w:t xml:space="preserve">, the LEQTF bond portfolio earned a total rate of return of </w:t>
      </w:r>
      <w:r w:rsidR="002710BA">
        <w:rPr>
          <w:rFonts w:cstheme="minorHAnsi"/>
          <w:sz w:val="24"/>
          <w:szCs w:val="24"/>
        </w:rPr>
        <w:t>0.53</w:t>
      </w:r>
      <w:r w:rsidRPr="00037C08">
        <w:rPr>
          <w:rFonts w:cstheme="minorHAnsi"/>
          <w:sz w:val="24"/>
          <w:szCs w:val="24"/>
        </w:rPr>
        <w:t xml:space="preserve"> percent, while the Barclays Government/Credit bond index</w:t>
      </w:r>
      <w:r>
        <w:rPr>
          <w:rFonts w:cstheme="minorHAnsi"/>
          <w:sz w:val="24"/>
          <w:szCs w:val="24"/>
        </w:rPr>
        <w:t xml:space="preserve">, </w:t>
      </w:r>
      <w:r w:rsidRPr="00037C08">
        <w:rPr>
          <w:rFonts w:cstheme="minorHAnsi"/>
          <w:sz w:val="24"/>
          <w:szCs w:val="24"/>
        </w:rPr>
        <w:t xml:space="preserve">the portfolio’s internal </w:t>
      </w:r>
      <w:r>
        <w:rPr>
          <w:rFonts w:cstheme="minorHAnsi"/>
          <w:sz w:val="24"/>
          <w:szCs w:val="24"/>
        </w:rPr>
        <w:t xml:space="preserve">fixed income </w:t>
      </w:r>
      <w:r w:rsidRPr="00037C08">
        <w:rPr>
          <w:rFonts w:cstheme="minorHAnsi"/>
          <w:sz w:val="24"/>
          <w:szCs w:val="24"/>
        </w:rPr>
        <w:t>benchmark</w:t>
      </w:r>
      <w:r>
        <w:rPr>
          <w:rFonts w:cstheme="minorHAnsi"/>
          <w:sz w:val="24"/>
          <w:szCs w:val="24"/>
        </w:rPr>
        <w:t>,</w:t>
      </w:r>
      <w:r w:rsidRPr="00037C08">
        <w:rPr>
          <w:rFonts w:cstheme="minorHAnsi"/>
          <w:sz w:val="24"/>
          <w:szCs w:val="24"/>
        </w:rPr>
        <w:t xml:space="preserve"> earned </w:t>
      </w:r>
      <w:r w:rsidR="00D910A1">
        <w:rPr>
          <w:rFonts w:cstheme="minorHAnsi"/>
          <w:sz w:val="24"/>
          <w:szCs w:val="24"/>
        </w:rPr>
        <w:t>-</w:t>
      </w:r>
      <w:r w:rsidR="002710BA">
        <w:rPr>
          <w:rFonts w:cstheme="minorHAnsi"/>
          <w:sz w:val="24"/>
          <w:szCs w:val="24"/>
        </w:rPr>
        <w:t>0.10</w:t>
      </w:r>
      <w:r w:rsidRPr="00037C08">
        <w:rPr>
          <w:rFonts w:cstheme="minorHAnsi"/>
          <w:sz w:val="24"/>
          <w:szCs w:val="24"/>
        </w:rPr>
        <w:t xml:space="preserve"> percent.  T</w:t>
      </w:r>
      <w:r w:rsidR="000A0A55">
        <w:rPr>
          <w:rFonts w:cstheme="minorHAnsi"/>
          <w:sz w:val="24"/>
          <w:szCs w:val="24"/>
        </w:rPr>
        <w:t>he t</w:t>
      </w:r>
      <w:r w:rsidRPr="00037C08">
        <w:rPr>
          <w:rFonts w:cstheme="minorHAnsi"/>
          <w:sz w:val="24"/>
          <w:szCs w:val="24"/>
        </w:rPr>
        <w:t xml:space="preserve">otal rate of return includes both interest income and capital appreciation.  However, the LEQTF’s bond portfolio is managed to maximize investment income for its beneficiaries.  LEQTF Vanguard equity investments returned </w:t>
      </w:r>
      <w:r w:rsidR="002710BA">
        <w:rPr>
          <w:rFonts w:cstheme="minorHAnsi"/>
          <w:sz w:val="24"/>
          <w:szCs w:val="24"/>
        </w:rPr>
        <w:t>16.57</w:t>
      </w:r>
      <w:r w:rsidRPr="00037C08">
        <w:rPr>
          <w:rFonts w:cstheme="minorHAnsi"/>
          <w:sz w:val="24"/>
          <w:szCs w:val="24"/>
        </w:rPr>
        <w:t xml:space="preserve"> percent for the fiscal year and the LEQTF equity dividend investments returned </w:t>
      </w:r>
      <w:r w:rsidR="002710BA">
        <w:rPr>
          <w:rFonts w:cstheme="minorHAnsi"/>
          <w:sz w:val="24"/>
          <w:szCs w:val="24"/>
        </w:rPr>
        <w:t>10.35</w:t>
      </w:r>
      <w:r w:rsidRPr="00037C08">
        <w:rPr>
          <w:rFonts w:cstheme="minorHAnsi"/>
          <w:sz w:val="24"/>
          <w:szCs w:val="24"/>
        </w:rPr>
        <w:t xml:space="preserve"> percent.  In U.S. domestic equities, the S&amp;P 500 index returned </w:t>
      </w:r>
      <w:r w:rsidR="002710BA">
        <w:rPr>
          <w:rFonts w:cstheme="minorHAnsi"/>
          <w:sz w:val="24"/>
          <w:szCs w:val="24"/>
        </w:rPr>
        <w:t>19.59</w:t>
      </w:r>
      <w:r w:rsidRPr="00037C08">
        <w:rPr>
          <w:rFonts w:cstheme="minorHAnsi"/>
          <w:sz w:val="24"/>
          <w:szCs w:val="24"/>
        </w:rPr>
        <w:t xml:space="preserve"> percent</w:t>
      </w:r>
      <w:r w:rsidRPr="00A7721F">
        <w:rPr>
          <w:rFonts w:cstheme="minorHAnsi"/>
          <w:sz w:val="24"/>
          <w:szCs w:val="24"/>
        </w:rPr>
        <w:t xml:space="preserve">, and the total equity market, </w:t>
      </w:r>
      <w:r w:rsidRPr="00D97AE5">
        <w:rPr>
          <w:rFonts w:cstheme="minorHAnsi"/>
          <w:sz w:val="24"/>
          <w:szCs w:val="24"/>
        </w:rPr>
        <w:t xml:space="preserve">as measured by the Wilshire 5000 index, </w:t>
      </w:r>
      <w:r w:rsidR="00A7721F" w:rsidRPr="00D97AE5">
        <w:rPr>
          <w:rFonts w:cstheme="minorHAnsi"/>
          <w:sz w:val="24"/>
          <w:szCs w:val="24"/>
        </w:rPr>
        <w:t>had a total return of</w:t>
      </w:r>
      <w:r w:rsidRPr="00D97AE5">
        <w:rPr>
          <w:rFonts w:cstheme="minorHAnsi"/>
          <w:sz w:val="24"/>
          <w:szCs w:val="24"/>
        </w:rPr>
        <w:t xml:space="preserve"> </w:t>
      </w:r>
      <w:r w:rsidR="002710BA">
        <w:rPr>
          <w:rFonts w:cstheme="minorHAnsi"/>
          <w:sz w:val="24"/>
          <w:szCs w:val="24"/>
        </w:rPr>
        <w:t>9.25</w:t>
      </w:r>
      <w:r w:rsidR="00A7721F" w:rsidRPr="00D97AE5">
        <w:rPr>
          <w:rFonts w:cstheme="minorHAnsi"/>
          <w:sz w:val="24"/>
          <w:szCs w:val="24"/>
        </w:rPr>
        <w:t xml:space="preserve"> </w:t>
      </w:r>
      <w:r w:rsidRPr="00D97AE5">
        <w:rPr>
          <w:rFonts w:cstheme="minorHAnsi"/>
          <w:sz w:val="24"/>
          <w:szCs w:val="24"/>
        </w:rPr>
        <w:t xml:space="preserve">percent.  The International </w:t>
      </w:r>
      <w:r w:rsidR="002C17ED" w:rsidRPr="00D97AE5">
        <w:rPr>
          <w:rFonts w:cstheme="minorHAnsi"/>
          <w:sz w:val="24"/>
          <w:szCs w:val="24"/>
        </w:rPr>
        <w:t>M</w:t>
      </w:r>
      <w:r w:rsidRPr="00D97AE5">
        <w:rPr>
          <w:rFonts w:cstheme="minorHAnsi"/>
          <w:sz w:val="24"/>
          <w:szCs w:val="24"/>
        </w:rPr>
        <w:t>arket</w:t>
      </w:r>
      <w:r w:rsidR="00A7721F" w:rsidRPr="00D97AE5">
        <w:rPr>
          <w:rFonts w:cstheme="minorHAnsi"/>
          <w:sz w:val="24"/>
          <w:szCs w:val="24"/>
        </w:rPr>
        <w:t>,</w:t>
      </w:r>
      <w:r w:rsidRPr="00D97AE5">
        <w:rPr>
          <w:rFonts w:cstheme="minorHAnsi"/>
          <w:sz w:val="24"/>
          <w:szCs w:val="24"/>
        </w:rPr>
        <w:t xml:space="preserve"> as measured by the MSCI-</w:t>
      </w:r>
      <w:proofErr w:type="spellStart"/>
      <w:r w:rsidRPr="00D97AE5">
        <w:rPr>
          <w:rFonts w:cstheme="minorHAnsi"/>
          <w:sz w:val="24"/>
          <w:szCs w:val="24"/>
        </w:rPr>
        <w:t>ACWIxUS</w:t>
      </w:r>
      <w:proofErr w:type="spellEnd"/>
      <w:r w:rsidR="00A7721F" w:rsidRPr="00D97AE5">
        <w:rPr>
          <w:rFonts w:cstheme="minorHAnsi"/>
          <w:sz w:val="24"/>
          <w:szCs w:val="24"/>
        </w:rPr>
        <w:t>,</w:t>
      </w:r>
      <w:r w:rsidRPr="00D97AE5">
        <w:rPr>
          <w:rFonts w:cstheme="minorHAnsi"/>
          <w:sz w:val="24"/>
          <w:szCs w:val="24"/>
        </w:rPr>
        <w:t xml:space="preserve"> </w:t>
      </w:r>
      <w:r w:rsidR="00A7721F" w:rsidRPr="00D97AE5">
        <w:rPr>
          <w:rFonts w:cstheme="minorHAnsi"/>
          <w:sz w:val="24"/>
          <w:szCs w:val="24"/>
        </w:rPr>
        <w:t xml:space="preserve">had a total return of </w:t>
      </w:r>
      <w:r w:rsidR="002710BA">
        <w:rPr>
          <w:rFonts w:cstheme="minorHAnsi"/>
          <w:sz w:val="24"/>
          <w:szCs w:val="24"/>
        </w:rPr>
        <w:t>14.25</w:t>
      </w:r>
      <w:r w:rsidRPr="00D97AE5">
        <w:rPr>
          <w:rFonts w:cstheme="minorHAnsi"/>
          <w:sz w:val="24"/>
          <w:szCs w:val="24"/>
        </w:rPr>
        <w:t xml:space="preserve"> percent during </w:t>
      </w:r>
      <w:r w:rsidR="008D3B48" w:rsidRPr="00D97AE5">
        <w:rPr>
          <w:rFonts w:cstheme="minorHAnsi"/>
          <w:sz w:val="24"/>
          <w:szCs w:val="24"/>
        </w:rPr>
        <w:t>FY 202</w:t>
      </w:r>
      <w:r w:rsidR="002710BA">
        <w:rPr>
          <w:rFonts w:cstheme="minorHAnsi"/>
          <w:sz w:val="24"/>
          <w:szCs w:val="24"/>
        </w:rPr>
        <w:t>3</w:t>
      </w:r>
      <w:r w:rsidRPr="00D97AE5">
        <w:rPr>
          <w:rFonts w:cstheme="minorHAnsi"/>
          <w:sz w:val="24"/>
          <w:szCs w:val="24"/>
        </w:rPr>
        <w:t>.</w:t>
      </w:r>
    </w:p>
    <w:p w14:paraId="758854BA" w14:textId="77777777" w:rsidR="00D67EEB" w:rsidRDefault="00D67EEB" w:rsidP="00D67EEB">
      <w:pPr>
        <w:rPr>
          <w:rFonts w:cstheme="minorHAnsi"/>
          <w:sz w:val="24"/>
          <w:szCs w:val="24"/>
        </w:rPr>
      </w:pPr>
    </w:p>
    <w:p w14:paraId="0A2758D6" w14:textId="75C2F9CD" w:rsidR="00D67EEB" w:rsidRDefault="00D67EEB" w:rsidP="00D67EEB">
      <w:pPr>
        <w:rPr>
          <w:b/>
          <w:sz w:val="32"/>
          <w:szCs w:val="32"/>
        </w:rPr>
      </w:pPr>
      <w:r w:rsidRPr="00B06795">
        <w:rPr>
          <w:b/>
          <w:sz w:val="32"/>
          <w:szCs w:val="32"/>
        </w:rPr>
        <w:t xml:space="preserve">LEQTF </w:t>
      </w:r>
      <w:r w:rsidR="003E27CA">
        <w:rPr>
          <w:b/>
          <w:sz w:val="32"/>
          <w:szCs w:val="32"/>
        </w:rPr>
        <w:t xml:space="preserve">Portfolio </w:t>
      </w:r>
      <w:r w:rsidRPr="00B06795">
        <w:rPr>
          <w:b/>
          <w:sz w:val="32"/>
          <w:szCs w:val="32"/>
        </w:rPr>
        <w:t xml:space="preserve">Performance for Fiscal Year </w:t>
      </w:r>
      <w:r w:rsidR="0091713B" w:rsidRPr="00B06795">
        <w:rPr>
          <w:b/>
          <w:sz w:val="32"/>
          <w:szCs w:val="32"/>
        </w:rPr>
        <w:t>20</w:t>
      </w:r>
      <w:r w:rsidR="0091713B">
        <w:rPr>
          <w:b/>
          <w:sz w:val="32"/>
          <w:szCs w:val="32"/>
        </w:rPr>
        <w:t>23</w:t>
      </w:r>
    </w:p>
    <w:tbl>
      <w:tblPr>
        <w:tblW w:w="8840" w:type="dxa"/>
        <w:tblLook w:val="04A0" w:firstRow="1" w:lastRow="0" w:firstColumn="1" w:lastColumn="0" w:noHBand="0" w:noVBand="1"/>
      </w:tblPr>
      <w:tblGrid>
        <w:gridCol w:w="1790"/>
        <w:gridCol w:w="820"/>
        <w:gridCol w:w="1080"/>
        <w:gridCol w:w="999"/>
        <w:gridCol w:w="820"/>
        <w:gridCol w:w="820"/>
        <w:gridCol w:w="954"/>
        <w:gridCol w:w="892"/>
        <w:gridCol w:w="820"/>
      </w:tblGrid>
      <w:tr w:rsidR="00E50B5E" w:rsidRPr="00E50B5E" w14:paraId="16D6A543" w14:textId="77777777" w:rsidTr="00E50B5E">
        <w:trPr>
          <w:trHeight w:val="900"/>
        </w:trPr>
        <w:tc>
          <w:tcPr>
            <w:tcW w:w="1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3ECEB0" w14:textId="77777777" w:rsidR="00E50B5E" w:rsidRPr="00E50B5E" w:rsidRDefault="00E50B5E" w:rsidP="00E50B5E">
            <w:pPr>
              <w:rPr>
                <w:rFonts w:ascii="Arial" w:eastAsia="Times New Roman" w:hAnsi="Arial" w:cs="Arial"/>
                <w:b/>
                <w:bCs/>
                <w:sz w:val="16"/>
                <w:szCs w:val="16"/>
              </w:rPr>
            </w:pPr>
            <w:r w:rsidRPr="00E50B5E">
              <w:rPr>
                <w:rFonts w:ascii="Arial" w:eastAsia="Times New Roman" w:hAnsi="Arial" w:cs="Arial"/>
                <w:b/>
                <w:bCs/>
                <w:sz w:val="16"/>
                <w:szCs w:val="16"/>
              </w:rPr>
              <w:t>Portfolio/Benchmark</w:t>
            </w:r>
          </w:p>
        </w:tc>
        <w:tc>
          <w:tcPr>
            <w:tcW w:w="820" w:type="dxa"/>
            <w:tcBorders>
              <w:top w:val="single" w:sz="4" w:space="0" w:color="auto"/>
              <w:left w:val="nil"/>
              <w:bottom w:val="single" w:sz="4" w:space="0" w:color="auto"/>
              <w:right w:val="single" w:sz="4" w:space="0" w:color="auto"/>
            </w:tcBorders>
            <w:shd w:val="clear" w:color="auto" w:fill="auto"/>
            <w:vAlign w:val="bottom"/>
            <w:hideMark/>
          </w:tcPr>
          <w:p w14:paraId="778BDE52" w14:textId="77777777" w:rsidR="00E50B5E" w:rsidRPr="00E50B5E" w:rsidRDefault="00E50B5E" w:rsidP="00E50B5E">
            <w:pPr>
              <w:jc w:val="center"/>
              <w:rPr>
                <w:rFonts w:ascii="Arial" w:eastAsia="Times New Roman" w:hAnsi="Arial" w:cs="Arial"/>
                <w:b/>
                <w:bCs/>
                <w:sz w:val="16"/>
                <w:szCs w:val="16"/>
              </w:rPr>
            </w:pPr>
            <w:r w:rsidRPr="00E50B5E">
              <w:rPr>
                <w:rFonts w:ascii="Arial" w:eastAsia="Times New Roman" w:hAnsi="Arial" w:cs="Arial"/>
                <w:b/>
                <w:bCs/>
                <w:sz w:val="16"/>
                <w:szCs w:val="16"/>
              </w:rPr>
              <w:t>30-Day T Bill</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4BDCEC52" w14:textId="77777777" w:rsidR="00E50B5E" w:rsidRPr="00E50B5E" w:rsidRDefault="00E50B5E" w:rsidP="00E50B5E">
            <w:pPr>
              <w:jc w:val="center"/>
              <w:rPr>
                <w:rFonts w:ascii="Arial" w:eastAsia="Times New Roman" w:hAnsi="Arial" w:cs="Arial"/>
                <w:b/>
                <w:bCs/>
                <w:sz w:val="16"/>
                <w:szCs w:val="16"/>
              </w:rPr>
            </w:pPr>
            <w:r w:rsidRPr="00E50B5E">
              <w:rPr>
                <w:rFonts w:ascii="Arial" w:eastAsia="Times New Roman" w:hAnsi="Arial" w:cs="Arial"/>
                <w:b/>
                <w:bCs/>
                <w:sz w:val="16"/>
                <w:szCs w:val="16"/>
              </w:rPr>
              <w:t>2-Year T Note</w:t>
            </w:r>
          </w:p>
        </w:tc>
        <w:tc>
          <w:tcPr>
            <w:tcW w:w="940" w:type="dxa"/>
            <w:tcBorders>
              <w:top w:val="single" w:sz="4" w:space="0" w:color="auto"/>
              <w:left w:val="nil"/>
              <w:bottom w:val="single" w:sz="4" w:space="0" w:color="auto"/>
              <w:right w:val="single" w:sz="4" w:space="0" w:color="auto"/>
            </w:tcBorders>
            <w:shd w:val="clear" w:color="auto" w:fill="auto"/>
            <w:vAlign w:val="bottom"/>
            <w:hideMark/>
          </w:tcPr>
          <w:p w14:paraId="7562DB6E" w14:textId="77777777" w:rsidR="00E50B5E" w:rsidRPr="00E50B5E" w:rsidRDefault="00E50B5E" w:rsidP="00E50B5E">
            <w:pPr>
              <w:jc w:val="center"/>
              <w:rPr>
                <w:rFonts w:ascii="Arial" w:eastAsia="Times New Roman" w:hAnsi="Arial" w:cs="Arial"/>
                <w:b/>
                <w:bCs/>
                <w:sz w:val="16"/>
                <w:szCs w:val="16"/>
              </w:rPr>
            </w:pPr>
            <w:r w:rsidRPr="00E50B5E">
              <w:rPr>
                <w:rFonts w:ascii="Arial" w:eastAsia="Times New Roman" w:hAnsi="Arial" w:cs="Arial"/>
                <w:b/>
                <w:bCs/>
                <w:sz w:val="16"/>
                <w:szCs w:val="16"/>
              </w:rPr>
              <w:t>BC Govt/Corp Bond Index</w:t>
            </w:r>
          </w:p>
        </w:tc>
        <w:tc>
          <w:tcPr>
            <w:tcW w:w="820" w:type="dxa"/>
            <w:tcBorders>
              <w:top w:val="single" w:sz="4" w:space="0" w:color="auto"/>
              <w:left w:val="nil"/>
              <w:bottom w:val="single" w:sz="4" w:space="0" w:color="auto"/>
              <w:right w:val="single" w:sz="4" w:space="0" w:color="auto"/>
            </w:tcBorders>
            <w:shd w:val="clear" w:color="auto" w:fill="auto"/>
            <w:vAlign w:val="bottom"/>
            <w:hideMark/>
          </w:tcPr>
          <w:p w14:paraId="6C88FC66" w14:textId="77777777" w:rsidR="00E50B5E" w:rsidRPr="00E50B5E" w:rsidRDefault="00E50B5E" w:rsidP="00E50B5E">
            <w:pPr>
              <w:jc w:val="center"/>
              <w:rPr>
                <w:rFonts w:ascii="Arial" w:eastAsia="Times New Roman" w:hAnsi="Arial" w:cs="Arial"/>
                <w:b/>
                <w:bCs/>
                <w:sz w:val="16"/>
                <w:szCs w:val="16"/>
              </w:rPr>
            </w:pPr>
            <w:r w:rsidRPr="00E50B5E">
              <w:rPr>
                <w:rFonts w:ascii="Arial" w:eastAsia="Times New Roman" w:hAnsi="Arial" w:cs="Arial"/>
                <w:b/>
                <w:bCs/>
                <w:sz w:val="16"/>
                <w:szCs w:val="16"/>
              </w:rPr>
              <w:t>LEQTF Fixed Income</w:t>
            </w:r>
          </w:p>
        </w:tc>
        <w:tc>
          <w:tcPr>
            <w:tcW w:w="820" w:type="dxa"/>
            <w:tcBorders>
              <w:top w:val="single" w:sz="4" w:space="0" w:color="auto"/>
              <w:left w:val="nil"/>
              <w:bottom w:val="single" w:sz="4" w:space="0" w:color="auto"/>
              <w:right w:val="single" w:sz="4" w:space="0" w:color="auto"/>
            </w:tcBorders>
            <w:shd w:val="clear" w:color="auto" w:fill="auto"/>
            <w:vAlign w:val="bottom"/>
            <w:hideMark/>
          </w:tcPr>
          <w:p w14:paraId="5E47D58E" w14:textId="77777777" w:rsidR="00E50B5E" w:rsidRPr="00E50B5E" w:rsidRDefault="00E50B5E" w:rsidP="00E50B5E">
            <w:pPr>
              <w:jc w:val="center"/>
              <w:rPr>
                <w:rFonts w:ascii="Arial" w:eastAsia="Times New Roman" w:hAnsi="Arial" w:cs="Arial"/>
                <w:b/>
                <w:bCs/>
                <w:sz w:val="16"/>
                <w:szCs w:val="16"/>
              </w:rPr>
            </w:pPr>
            <w:r w:rsidRPr="00E50B5E">
              <w:rPr>
                <w:rFonts w:ascii="Arial" w:eastAsia="Times New Roman" w:hAnsi="Arial" w:cs="Arial"/>
                <w:b/>
                <w:bCs/>
                <w:sz w:val="16"/>
                <w:szCs w:val="16"/>
              </w:rPr>
              <w:t>S&amp;P 500 Index</w:t>
            </w:r>
          </w:p>
        </w:tc>
        <w:tc>
          <w:tcPr>
            <w:tcW w:w="880" w:type="dxa"/>
            <w:tcBorders>
              <w:top w:val="single" w:sz="4" w:space="0" w:color="auto"/>
              <w:left w:val="nil"/>
              <w:bottom w:val="single" w:sz="4" w:space="0" w:color="auto"/>
              <w:right w:val="single" w:sz="4" w:space="0" w:color="auto"/>
            </w:tcBorders>
            <w:shd w:val="clear" w:color="auto" w:fill="auto"/>
            <w:vAlign w:val="bottom"/>
            <w:hideMark/>
          </w:tcPr>
          <w:p w14:paraId="04D89636" w14:textId="77777777" w:rsidR="00E50B5E" w:rsidRPr="00E50B5E" w:rsidRDefault="00E50B5E" w:rsidP="00E50B5E">
            <w:pPr>
              <w:jc w:val="center"/>
              <w:rPr>
                <w:rFonts w:ascii="Arial" w:eastAsia="Times New Roman" w:hAnsi="Arial" w:cs="Arial"/>
                <w:b/>
                <w:bCs/>
                <w:sz w:val="16"/>
                <w:szCs w:val="16"/>
              </w:rPr>
            </w:pPr>
            <w:r w:rsidRPr="00E50B5E">
              <w:rPr>
                <w:rFonts w:ascii="Arial" w:eastAsia="Times New Roman" w:hAnsi="Arial" w:cs="Arial"/>
                <w:b/>
                <w:bCs/>
                <w:sz w:val="16"/>
                <w:szCs w:val="16"/>
              </w:rPr>
              <w:t>LEQTF Vanguard Equities</w:t>
            </w:r>
          </w:p>
        </w:tc>
        <w:tc>
          <w:tcPr>
            <w:tcW w:w="820" w:type="dxa"/>
            <w:tcBorders>
              <w:top w:val="single" w:sz="4" w:space="0" w:color="auto"/>
              <w:left w:val="nil"/>
              <w:bottom w:val="single" w:sz="4" w:space="0" w:color="auto"/>
              <w:right w:val="single" w:sz="4" w:space="0" w:color="auto"/>
            </w:tcBorders>
            <w:shd w:val="clear" w:color="auto" w:fill="auto"/>
            <w:vAlign w:val="bottom"/>
            <w:hideMark/>
          </w:tcPr>
          <w:p w14:paraId="04073F22" w14:textId="77777777" w:rsidR="00E50B5E" w:rsidRPr="00E50B5E" w:rsidRDefault="00E50B5E" w:rsidP="00E50B5E">
            <w:pPr>
              <w:jc w:val="center"/>
              <w:rPr>
                <w:rFonts w:ascii="Arial" w:eastAsia="Times New Roman" w:hAnsi="Arial" w:cs="Arial"/>
                <w:b/>
                <w:bCs/>
                <w:sz w:val="16"/>
                <w:szCs w:val="16"/>
              </w:rPr>
            </w:pPr>
            <w:r w:rsidRPr="00E50B5E">
              <w:rPr>
                <w:rFonts w:ascii="Arial" w:eastAsia="Times New Roman" w:hAnsi="Arial" w:cs="Arial"/>
                <w:b/>
                <w:bCs/>
                <w:sz w:val="16"/>
                <w:szCs w:val="16"/>
              </w:rPr>
              <w:t>LEQTF Dividend Equities</w:t>
            </w:r>
          </w:p>
        </w:tc>
        <w:tc>
          <w:tcPr>
            <w:tcW w:w="820" w:type="dxa"/>
            <w:tcBorders>
              <w:top w:val="single" w:sz="4" w:space="0" w:color="auto"/>
              <w:left w:val="nil"/>
              <w:bottom w:val="single" w:sz="4" w:space="0" w:color="auto"/>
              <w:right w:val="single" w:sz="4" w:space="0" w:color="auto"/>
            </w:tcBorders>
            <w:shd w:val="clear" w:color="auto" w:fill="auto"/>
            <w:vAlign w:val="bottom"/>
            <w:hideMark/>
          </w:tcPr>
          <w:p w14:paraId="250DA098" w14:textId="77777777" w:rsidR="00E50B5E" w:rsidRPr="00E50B5E" w:rsidRDefault="00E50B5E" w:rsidP="00E50B5E">
            <w:pPr>
              <w:jc w:val="center"/>
              <w:rPr>
                <w:rFonts w:ascii="Arial" w:eastAsia="Times New Roman" w:hAnsi="Arial" w:cs="Arial"/>
                <w:b/>
                <w:bCs/>
                <w:sz w:val="16"/>
                <w:szCs w:val="16"/>
              </w:rPr>
            </w:pPr>
            <w:r w:rsidRPr="00E50B5E">
              <w:rPr>
                <w:rFonts w:ascii="Arial" w:eastAsia="Times New Roman" w:hAnsi="Arial" w:cs="Arial"/>
                <w:b/>
                <w:bCs/>
                <w:sz w:val="16"/>
                <w:szCs w:val="16"/>
              </w:rPr>
              <w:t>LEQTF Total</w:t>
            </w:r>
          </w:p>
        </w:tc>
      </w:tr>
      <w:tr w:rsidR="00E50B5E" w:rsidRPr="00E50B5E" w14:paraId="1E77B9B6" w14:textId="77777777" w:rsidTr="00E50B5E">
        <w:trPr>
          <w:trHeight w:val="255"/>
        </w:trPr>
        <w:tc>
          <w:tcPr>
            <w:tcW w:w="1840" w:type="dxa"/>
            <w:tcBorders>
              <w:top w:val="nil"/>
              <w:left w:val="single" w:sz="4" w:space="0" w:color="auto"/>
              <w:bottom w:val="single" w:sz="4" w:space="0" w:color="auto"/>
              <w:right w:val="single" w:sz="4" w:space="0" w:color="auto"/>
            </w:tcBorders>
            <w:shd w:val="clear" w:color="auto" w:fill="auto"/>
            <w:vAlign w:val="bottom"/>
            <w:hideMark/>
          </w:tcPr>
          <w:p w14:paraId="438EBE1A" w14:textId="77777777" w:rsidR="00E50B5E" w:rsidRPr="00E50B5E" w:rsidRDefault="00E50B5E" w:rsidP="00E50B5E">
            <w:pPr>
              <w:rPr>
                <w:rFonts w:ascii="Arial" w:eastAsia="Times New Roman" w:hAnsi="Arial" w:cs="Arial"/>
                <w:sz w:val="16"/>
                <w:szCs w:val="16"/>
              </w:rPr>
            </w:pPr>
            <w:r w:rsidRPr="00E50B5E">
              <w:rPr>
                <w:rFonts w:ascii="Arial" w:eastAsia="Times New Roman" w:hAnsi="Arial" w:cs="Arial"/>
                <w:sz w:val="16"/>
                <w:szCs w:val="16"/>
              </w:rPr>
              <w:t>Percent (%) Return</w:t>
            </w:r>
          </w:p>
        </w:tc>
        <w:tc>
          <w:tcPr>
            <w:tcW w:w="820" w:type="dxa"/>
            <w:tcBorders>
              <w:top w:val="nil"/>
              <w:left w:val="nil"/>
              <w:bottom w:val="single" w:sz="4" w:space="0" w:color="auto"/>
              <w:right w:val="single" w:sz="4" w:space="0" w:color="auto"/>
            </w:tcBorders>
            <w:shd w:val="clear" w:color="auto" w:fill="auto"/>
            <w:noWrap/>
            <w:vAlign w:val="bottom"/>
            <w:hideMark/>
          </w:tcPr>
          <w:p w14:paraId="561FBF37" w14:textId="77777777" w:rsidR="00E50B5E" w:rsidRPr="00E50B5E" w:rsidRDefault="00E50B5E" w:rsidP="00E50B5E">
            <w:pPr>
              <w:jc w:val="right"/>
              <w:rPr>
                <w:rFonts w:ascii="Arial" w:eastAsia="Times New Roman" w:hAnsi="Arial" w:cs="Arial"/>
                <w:sz w:val="16"/>
                <w:szCs w:val="16"/>
              </w:rPr>
            </w:pPr>
            <w:r w:rsidRPr="00E50B5E">
              <w:rPr>
                <w:rFonts w:ascii="Arial" w:eastAsia="Times New Roman" w:hAnsi="Arial" w:cs="Arial"/>
                <w:sz w:val="16"/>
                <w:szCs w:val="16"/>
              </w:rPr>
              <w:t>3.70%</w:t>
            </w:r>
          </w:p>
        </w:tc>
        <w:tc>
          <w:tcPr>
            <w:tcW w:w="1080" w:type="dxa"/>
            <w:tcBorders>
              <w:top w:val="nil"/>
              <w:left w:val="nil"/>
              <w:bottom w:val="single" w:sz="4" w:space="0" w:color="auto"/>
              <w:right w:val="single" w:sz="4" w:space="0" w:color="auto"/>
            </w:tcBorders>
            <w:shd w:val="clear" w:color="auto" w:fill="auto"/>
            <w:noWrap/>
            <w:vAlign w:val="bottom"/>
            <w:hideMark/>
          </w:tcPr>
          <w:p w14:paraId="1AF77DAB" w14:textId="77777777" w:rsidR="00E50B5E" w:rsidRPr="00E50B5E" w:rsidRDefault="00E50B5E" w:rsidP="00E50B5E">
            <w:pPr>
              <w:jc w:val="right"/>
              <w:rPr>
                <w:rFonts w:ascii="Arial" w:eastAsia="Times New Roman" w:hAnsi="Arial" w:cs="Arial"/>
                <w:sz w:val="16"/>
                <w:szCs w:val="16"/>
              </w:rPr>
            </w:pPr>
            <w:r w:rsidRPr="00E50B5E">
              <w:rPr>
                <w:rFonts w:ascii="Arial" w:eastAsia="Times New Roman" w:hAnsi="Arial" w:cs="Arial"/>
                <w:sz w:val="16"/>
                <w:szCs w:val="16"/>
              </w:rPr>
              <w:t>-0.60%</w:t>
            </w:r>
          </w:p>
        </w:tc>
        <w:tc>
          <w:tcPr>
            <w:tcW w:w="940" w:type="dxa"/>
            <w:tcBorders>
              <w:top w:val="nil"/>
              <w:left w:val="nil"/>
              <w:bottom w:val="single" w:sz="4" w:space="0" w:color="auto"/>
              <w:right w:val="single" w:sz="4" w:space="0" w:color="auto"/>
            </w:tcBorders>
            <w:shd w:val="clear" w:color="auto" w:fill="auto"/>
            <w:noWrap/>
            <w:vAlign w:val="bottom"/>
            <w:hideMark/>
          </w:tcPr>
          <w:p w14:paraId="239CD70C" w14:textId="77777777" w:rsidR="00E50B5E" w:rsidRPr="00E50B5E" w:rsidRDefault="00E50B5E" w:rsidP="00E50B5E">
            <w:pPr>
              <w:jc w:val="right"/>
              <w:rPr>
                <w:rFonts w:ascii="Arial" w:eastAsia="Times New Roman" w:hAnsi="Arial" w:cs="Arial"/>
                <w:sz w:val="16"/>
                <w:szCs w:val="16"/>
              </w:rPr>
            </w:pPr>
            <w:r w:rsidRPr="00E50B5E">
              <w:rPr>
                <w:rFonts w:ascii="Arial" w:eastAsia="Times New Roman" w:hAnsi="Arial" w:cs="Arial"/>
                <w:sz w:val="16"/>
                <w:szCs w:val="16"/>
              </w:rPr>
              <w:t>-0.10%</w:t>
            </w:r>
          </w:p>
        </w:tc>
        <w:tc>
          <w:tcPr>
            <w:tcW w:w="820" w:type="dxa"/>
            <w:tcBorders>
              <w:top w:val="nil"/>
              <w:left w:val="nil"/>
              <w:bottom w:val="single" w:sz="4" w:space="0" w:color="auto"/>
              <w:right w:val="single" w:sz="4" w:space="0" w:color="auto"/>
            </w:tcBorders>
            <w:shd w:val="clear" w:color="auto" w:fill="auto"/>
            <w:noWrap/>
            <w:vAlign w:val="bottom"/>
            <w:hideMark/>
          </w:tcPr>
          <w:p w14:paraId="52F2BD9A" w14:textId="77777777" w:rsidR="00E50B5E" w:rsidRPr="00E50B5E" w:rsidRDefault="00E50B5E" w:rsidP="00E50B5E">
            <w:pPr>
              <w:jc w:val="right"/>
              <w:rPr>
                <w:rFonts w:ascii="Arial" w:eastAsia="Times New Roman" w:hAnsi="Arial" w:cs="Arial"/>
                <w:sz w:val="16"/>
                <w:szCs w:val="16"/>
              </w:rPr>
            </w:pPr>
            <w:r w:rsidRPr="00E50B5E">
              <w:rPr>
                <w:rFonts w:ascii="Arial" w:eastAsia="Times New Roman" w:hAnsi="Arial" w:cs="Arial"/>
                <w:sz w:val="16"/>
                <w:szCs w:val="16"/>
              </w:rPr>
              <w:t>0.53%</w:t>
            </w:r>
          </w:p>
        </w:tc>
        <w:tc>
          <w:tcPr>
            <w:tcW w:w="820" w:type="dxa"/>
            <w:tcBorders>
              <w:top w:val="nil"/>
              <w:left w:val="nil"/>
              <w:bottom w:val="single" w:sz="4" w:space="0" w:color="auto"/>
              <w:right w:val="single" w:sz="4" w:space="0" w:color="auto"/>
            </w:tcBorders>
            <w:shd w:val="clear" w:color="auto" w:fill="auto"/>
            <w:noWrap/>
            <w:vAlign w:val="bottom"/>
            <w:hideMark/>
          </w:tcPr>
          <w:p w14:paraId="45609968" w14:textId="77777777" w:rsidR="00E50B5E" w:rsidRPr="00E50B5E" w:rsidRDefault="00E50B5E" w:rsidP="00E50B5E">
            <w:pPr>
              <w:jc w:val="right"/>
              <w:rPr>
                <w:rFonts w:ascii="Arial" w:eastAsia="Times New Roman" w:hAnsi="Arial" w:cs="Arial"/>
                <w:sz w:val="16"/>
                <w:szCs w:val="16"/>
              </w:rPr>
            </w:pPr>
            <w:r w:rsidRPr="00E50B5E">
              <w:rPr>
                <w:rFonts w:ascii="Arial" w:eastAsia="Times New Roman" w:hAnsi="Arial" w:cs="Arial"/>
                <w:sz w:val="16"/>
                <w:szCs w:val="16"/>
              </w:rPr>
              <w:t>19.59%</w:t>
            </w:r>
          </w:p>
        </w:tc>
        <w:tc>
          <w:tcPr>
            <w:tcW w:w="880" w:type="dxa"/>
            <w:tcBorders>
              <w:top w:val="nil"/>
              <w:left w:val="nil"/>
              <w:bottom w:val="single" w:sz="4" w:space="0" w:color="auto"/>
              <w:right w:val="single" w:sz="4" w:space="0" w:color="auto"/>
            </w:tcBorders>
            <w:shd w:val="clear" w:color="auto" w:fill="auto"/>
            <w:noWrap/>
            <w:vAlign w:val="bottom"/>
            <w:hideMark/>
          </w:tcPr>
          <w:p w14:paraId="25EA0A2B" w14:textId="77777777" w:rsidR="00E50B5E" w:rsidRPr="00E50B5E" w:rsidRDefault="00E50B5E" w:rsidP="00E50B5E">
            <w:pPr>
              <w:jc w:val="right"/>
              <w:rPr>
                <w:rFonts w:ascii="Arial" w:eastAsia="Times New Roman" w:hAnsi="Arial" w:cs="Arial"/>
                <w:sz w:val="16"/>
                <w:szCs w:val="16"/>
              </w:rPr>
            </w:pPr>
            <w:r w:rsidRPr="00E50B5E">
              <w:rPr>
                <w:rFonts w:ascii="Arial" w:eastAsia="Times New Roman" w:hAnsi="Arial" w:cs="Arial"/>
                <w:sz w:val="16"/>
                <w:szCs w:val="16"/>
              </w:rPr>
              <w:t>16.57%</w:t>
            </w:r>
          </w:p>
        </w:tc>
        <w:tc>
          <w:tcPr>
            <w:tcW w:w="820" w:type="dxa"/>
            <w:tcBorders>
              <w:top w:val="nil"/>
              <w:left w:val="nil"/>
              <w:bottom w:val="single" w:sz="4" w:space="0" w:color="auto"/>
              <w:right w:val="single" w:sz="4" w:space="0" w:color="auto"/>
            </w:tcBorders>
            <w:shd w:val="clear" w:color="auto" w:fill="auto"/>
            <w:noWrap/>
            <w:vAlign w:val="bottom"/>
            <w:hideMark/>
          </w:tcPr>
          <w:p w14:paraId="1E94CFDE" w14:textId="77777777" w:rsidR="00E50B5E" w:rsidRPr="00E50B5E" w:rsidRDefault="00E50B5E" w:rsidP="00E50B5E">
            <w:pPr>
              <w:jc w:val="right"/>
              <w:rPr>
                <w:rFonts w:ascii="Arial" w:eastAsia="Times New Roman" w:hAnsi="Arial" w:cs="Arial"/>
                <w:sz w:val="16"/>
                <w:szCs w:val="16"/>
              </w:rPr>
            </w:pPr>
            <w:r w:rsidRPr="00E50B5E">
              <w:rPr>
                <w:rFonts w:ascii="Arial" w:eastAsia="Times New Roman" w:hAnsi="Arial" w:cs="Arial"/>
                <w:sz w:val="16"/>
                <w:szCs w:val="16"/>
              </w:rPr>
              <w:t>10.35%</w:t>
            </w:r>
          </w:p>
        </w:tc>
        <w:tc>
          <w:tcPr>
            <w:tcW w:w="820" w:type="dxa"/>
            <w:tcBorders>
              <w:top w:val="nil"/>
              <w:left w:val="nil"/>
              <w:bottom w:val="single" w:sz="4" w:space="0" w:color="auto"/>
              <w:right w:val="single" w:sz="4" w:space="0" w:color="auto"/>
            </w:tcBorders>
            <w:shd w:val="clear" w:color="auto" w:fill="auto"/>
            <w:noWrap/>
            <w:vAlign w:val="bottom"/>
            <w:hideMark/>
          </w:tcPr>
          <w:p w14:paraId="4DF72C9F" w14:textId="77777777" w:rsidR="00E50B5E" w:rsidRPr="00E50B5E" w:rsidRDefault="00E50B5E" w:rsidP="00E50B5E">
            <w:pPr>
              <w:jc w:val="right"/>
              <w:rPr>
                <w:rFonts w:ascii="Arial" w:eastAsia="Times New Roman" w:hAnsi="Arial" w:cs="Arial"/>
                <w:sz w:val="16"/>
                <w:szCs w:val="16"/>
              </w:rPr>
            </w:pPr>
            <w:r w:rsidRPr="00E50B5E">
              <w:rPr>
                <w:rFonts w:ascii="Arial" w:eastAsia="Times New Roman" w:hAnsi="Arial" w:cs="Arial"/>
                <w:sz w:val="16"/>
                <w:szCs w:val="16"/>
              </w:rPr>
              <w:t>4.86%</w:t>
            </w:r>
          </w:p>
        </w:tc>
      </w:tr>
    </w:tbl>
    <w:p w14:paraId="194AB2C6" w14:textId="77777777" w:rsidR="003D38C6" w:rsidRPr="006739E3" w:rsidRDefault="003D38C6" w:rsidP="005F474A">
      <w:pPr>
        <w:rPr>
          <w:b/>
          <w:sz w:val="24"/>
          <w:szCs w:val="24"/>
        </w:rPr>
      </w:pPr>
    </w:p>
    <w:p w14:paraId="492070D8" w14:textId="77777777" w:rsidR="006739E3" w:rsidRDefault="006739E3" w:rsidP="006739E3">
      <w:pPr>
        <w:rPr>
          <w:b/>
          <w:sz w:val="32"/>
          <w:szCs w:val="32"/>
        </w:rPr>
      </w:pPr>
      <w:r w:rsidRPr="001B6B4E">
        <w:rPr>
          <w:b/>
          <w:sz w:val="32"/>
          <w:szCs w:val="32"/>
        </w:rPr>
        <w:t>LEQTF</w:t>
      </w:r>
      <w:r>
        <w:rPr>
          <w:b/>
          <w:sz w:val="32"/>
          <w:szCs w:val="32"/>
        </w:rPr>
        <w:t xml:space="preserve"> Portfolio</w:t>
      </w:r>
      <w:r w:rsidRPr="001B6B4E">
        <w:rPr>
          <w:b/>
          <w:sz w:val="32"/>
          <w:szCs w:val="32"/>
        </w:rPr>
        <w:t xml:space="preserve"> Performance History</w:t>
      </w:r>
    </w:p>
    <w:tbl>
      <w:tblPr>
        <w:tblW w:w="8840" w:type="dxa"/>
        <w:tblLook w:val="04A0" w:firstRow="1" w:lastRow="0" w:firstColumn="1" w:lastColumn="0" w:noHBand="0" w:noVBand="1"/>
      </w:tblPr>
      <w:tblGrid>
        <w:gridCol w:w="1840"/>
        <w:gridCol w:w="832"/>
        <w:gridCol w:w="1093"/>
        <w:gridCol w:w="1020"/>
        <w:gridCol w:w="820"/>
        <w:gridCol w:w="958"/>
        <w:gridCol w:w="880"/>
        <w:gridCol w:w="820"/>
        <w:gridCol w:w="820"/>
      </w:tblGrid>
      <w:tr w:rsidR="006739E3" w:rsidRPr="00E50B5E" w14:paraId="33D5936F" w14:textId="77777777" w:rsidTr="00460015">
        <w:trPr>
          <w:trHeight w:val="1020"/>
        </w:trPr>
        <w:tc>
          <w:tcPr>
            <w:tcW w:w="1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95DA85" w14:textId="77777777" w:rsidR="006739E3" w:rsidRPr="00E50B5E" w:rsidRDefault="006739E3" w:rsidP="00460015">
            <w:pPr>
              <w:rPr>
                <w:rFonts w:ascii="Calibri" w:eastAsia="Times New Roman" w:hAnsi="Calibri" w:cs="Calibri"/>
                <w:b/>
                <w:bCs/>
                <w:sz w:val="20"/>
                <w:szCs w:val="20"/>
              </w:rPr>
            </w:pPr>
            <w:r w:rsidRPr="00E50B5E">
              <w:rPr>
                <w:rFonts w:ascii="Calibri" w:eastAsia="Times New Roman" w:hAnsi="Calibri" w:cs="Calibri"/>
                <w:b/>
                <w:bCs/>
                <w:sz w:val="20"/>
                <w:szCs w:val="20"/>
              </w:rPr>
              <w:t> </w:t>
            </w:r>
          </w:p>
        </w:tc>
        <w:tc>
          <w:tcPr>
            <w:tcW w:w="820" w:type="dxa"/>
            <w:tcBorders>
              <w:top w:val="single" w:sz="4" w:space="0" w:color="auto"/>
              <w:left w:val="nil"/>
              <w:bottom w:val="single" w:sz="4" w:space="0" w:color="auto"/>
              <w:right w:val="single" w:sz="4" w:space="0" w:color="auto"/>
            </w:tcBorders>
            <w:shd w:val="clear" w:color="auto" w:fill="auto"/>
            <w:vAlign w:val="bottom"/>
            <w:hideMark/>
          </w:tcPr>
          <w:p w14:paraId="1BED082B" w14:textId="77777777" w:rsidR="006739E3" w:rsidRPr="00E50B5E" w:rsidRDefault="006739E3" w:rsidP="00460015">
            <w:pPr>
              <w:jc w:val="center"/>
              <w:rPr>
                <w:rFonts w:ascii="Calibri" w:eastAsia="Times New Roman" w:hAnsi="Calibri" w:cs="Calibri"/>
                <w:b/>
                <w:bCs/>
                <w:sz w:val="20"/>
                <w:szCs w:val="20"/>
              </w:rPr>
            </w:pPr>
            <w:r w:rsidRPr="00E50B5E">
              <w:rPr>
                <w:rFonts w:ascii="Calibri" w:eastAsia="Times New Roman" w:hAnsi="Calibri" w:cs="Calibri"/>
                <w:b/>
                <w:bCs/>
                <w:sz w:val="20"/>
                <w:szCs w:val="20"/>
              </w:rPr>
              <w:t>LEQTF Fixed Income</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6F5F2A2B" w14:textId="77777777" w:rsidR="006739E3" w:rsidRPr="00E50B5E" w:rsidRDefault="006739E3" w:rsidP="00460015">
            <w:pPr>
              <w:jc w:val="center"/>
              <w:rPr>
                <w:rFonts w:ascii="Calibri" w:eastAsia="Times New Roman" w:hAnsi="Calibri" w:cs="Calibri"/>
                <w:b/>
                <w:bCs/>
                <w:sz w:val="20"/>
                <w:szCs w:val="20"/>
              </w:rPr>
            </w:pPr>
            <w:r w:rsidRPr="00E50B5E">
              <w:rPr>
                <w:rFonts w:ascii="Calibri" w:eastAsia="Times New Roman" w:hAnsi="Calibri" w:cs="Calibri"/>
                <w:b/>
                <w:bCs/>
                <w:sz w:val="20"/>
                <w:szCs w:val="20"/>
              </w:rPr>
              <w:t>BC Govt/Corp Bond Index</w:t>
            </w:r>
          </w:p>
        </w:tc>
        <w:tc>
          <w:tcPr>
            <w:tcW w:w="940" w:type="dxa"/>
            <w:tcBorders>
              <w:top w:val="single" w:sz="4" w:space="0" w:color="auto"/>
              <w:left w:val="nil"/>
              <w:bottom w:val="single" w:sz="4" w:space="0" w:color="auto"/>
              <w:right w:val="single" w:sz="4" w:space="0" w:color="auto"/>
            </w:tcBorders>
            <w:shd w:val="clear" w:color="auto" w:fill="auto"/>
            <w:vAlign w:val="bottom"/>
            <w:hideMark/>
          </w:tcPr>
          <w:p w14:paraId="30E19794" w14:textId="77777777" w:rsidR="006739E3" w:rsidRPr="00E50B5E" w:rsidRDefault="006739E3" w:rsidP="00460015">
            <w:pPr>
              <w:jc w:val="center"/>
              <w:rPr>
                <w:rFonts w:ascii="Calibri" w:eastAsia="Times New Roman" w:hAnsi="Calibri" w:cs="Calibri"/>
                <w:b/>
                <w:bCs/>
                <w:sz w:val="20"/>
                <w:szCs w:val="20"/>
              </w:rPr>
            </w:pPr>
            <w:r w:rsidRPr="00E50B5E">
              <w:rPr>
                <w:rFonts w:ascii="Calibri" w:eastAsia="Times New Roman" w:hAnsi="Calibri" w:cs="Calibri"/>
                <w:b/>
                <w:bCs/>
                <w:sz w:val="20"/>
                <w:szCs w:val="20"/>
              </w:rPr>
              <w:t>LEQTF Vanguard Equities</w:t>
            </w:r>
          </w:p>
        </w:tc>
        <w:tc>
          <w:tcPr>
            <w:tcW w:w="820" w:type="dxa"/>
            <w:tcBorders>
              <w:top w:val="single" w:sz="4" w:space="0" w:color="auto"/>
              <w:left w:val="nil"/>
              <w:bottom w:val="single" w:sz="4" w:space="0" w:color="auto"/>
              <w:right w:val="single" w:sz="4" w:space="0" w:color="auto"/>
            </w:tcBorders>
            <w:shd w:val="clear" w:color="auto" w:fill="auto"/>
            <w:vAlign w:val="bottom"/>
            <w:hideMark/>
          </w:tcPr>
          <w:p w14:paraId="5980C83B" w14:textId="77777777" w:rsidR="006739E3" w:rsidRPr="00E50B5E" w:rsidRDefault="006739E3" w:rsidP="00460015">
            <w:pPr>
              <w:jc w:val="center"/>
              <w:rPr>
                <w:rFonts w:ascii="Calibri" w:eastAsia="Times New Roman" w:hAnsi="Calibri" w:cs="Calibri"/>
                <w:b/>
                <w:bCs/>
                <w:sz w:val="20"/>
                <w:szCs w:val="20"/>
              </w:rPr>
            </w:pPr>
            <w:r w:rsidRPr="00E50B5E">
              <w:rPr>
                <w:rFonts w:ascii="Calibri" w:eastAsia="Times New Roman" w:hAnsi="Calibri" w:cs="Calibri"/>
                <w:b/>
                <w:bCs/>
                <w:sz w:val="20"/>
                <w:szCs w:val="20"/>
              </w:rPr>
              <w:t>S&amp;P 500 Index</w:t>
            </w:r>
          </w:p>
        </w:tc>
        <w:tc>
          <w:tcPr>
            <w:tcW w:w="820" w:type="dxa"/>
            <w:tcBorders>
              <w:top w:val="single" w:sz="4" w:space="0" w:color="auto"/>
              <w:left w:val="nil"/>
              <w:bottom w:val="single" w:sz="4" w:space="0" w:color="auto"/>
              <w:right w:val="single" w:sz="4" w:space="0" w:color="auto"/>
            </w:tcBorders>
            <w:shd w:val="clear" w:color="auto" w:fill="auto"/>
            <w:vAlign w:val="bottom"/>
            <w:hideMark/>
          </w:tcPr>
          <w:p w14:paraId="3C8E5381" w14:textId="77777777" w:rsidR="006739E3" w:rsidRPr="00E50B5E" w:rsidRDefault="006739E3" w:rsidP="00460015">
            <w:pPr>
              <w:jc w:val="center"/>
              <w:rPr>
                <w:rFonts w:ascii="Calibri" w:eastAsia="Times New Roman" w:hAnsi="Calibri" w:cs="Calibri"/>
                <w:b/>
                <w:bCs/>
                <w:sz w:val="20"/>
                <w:szCs w:val="20"/>
              </w:rPr>
            </w:pPr>
            <w:r w:rsidRPr="00E50B5E">
              <w:rPr>
                <w:rFonts w:ascii="Calibri" w:eastAsia="Times New Roman" w:hAnsi="Calibri" w:cs="Calibri"/>
                <w:b/>
                <w:bCs/>
                <w:sz w:val="20"/>
                <w:szCs w:val="20"/>
              </w:rPr>
              <w:t xml:space="preserve">LEQTF Equity Dividend </w:t>
            </w:r>
          </w:p>
        </w:tc>
        <w:tc>
          <w:tcPr>
            <w:tcW w:w="880" w:type="dxa"/>
            <w:tcBorders>
              <w:top w:val="single" w:sz="4" w:space="0" w:color="auto"/>
              <w:left w:val="nil"/>
              <w:bottom w:val="single" w:sz="4" w:space="0" w:color="auto"/>
              <w:right w:val="single" w:sz="4" w:space="0" w:color="auto"/>
            </w:tcBorders>
            <w:shd w:val="clear" w:color="auto" w:fill="auto"/>
            <w:vAlign w:val="bottom"/>
            <w:hideMark/>
          </w:tcPr>
          <w:p w14:paraId="3B264E0F" w14:textId="77777777" w:rsidR="006739E3" w:rsidRPr="00E50B5E" w:rsidRDefault="006739E3" w:rsidP="00460015">
            <w:pPr>
              <w:jc w:val="center"/>
              <w:rPr>
                <w:rFonts w:ascii="Calibri" w:eastAsia="Times New Roman" w:hAnsi="Calibri" w:cs="Calibri"/>
                <w:b/>
                <w:bCs/>
                <w:sz w:val="20"/>
                <w:szCs w:val="20"/>
              </w:rPr>
            </w:pPr>
            <w:r w:rsidRPr="00E50B5E">
              <w:rPr>
                <w:rFonts w:ascii="Calibri" w:eastAsia="Times New Roman" w:hAnsi="Calibri" w:cs="Calibri"/>
                <w:b/>
                <w:bCs/>
                <w:sz w:val="20"/>
                <w:szCs w:val="20"/>
              </w:rPr>
              <w:t>LEQTF Total</w:t>
            </w:r>
          </w:p>
        </w:tc>
        <w:tc>
          <w:tcPr>
            <w:tcW w:w="820" w:type="dxa"/>
            <w:tcBorders>
              <w:top w:val="single" w:sz="4" w:space="0" w:color="auto"/>
              <w:left w:val="nil"/>
              <w:bottom w:val="single" w:sz="4" w:space="0" w:color="auto"/>
              <w:right w:val="single" w:sz="4" w:space="0" w:color="auto"/>
            </w:tcBorders>
            <w:shd w:val="clear" w:color="auto" w:fill="auto"/>
            <w:vAlign w:val="bottom"/>
            <w:hideMark/>
          </w:tcPr>
          <w:p w14:paraId="478D7941" w14:textId="77777777" w:rsidR="006739E3" w:rsidRPr="00E50B5E" w:rsidRDefault="006739E3" w:rsidP="00460015">
            <w:pPr>
              <w:jc w:val="center"/>
              <w:rPr>
                <w:rFonts w:ascii="Calibri" w:eastAsia="Times New Roman" w:hAnsi="Calibri" w:cs="Calibri"/>
                <w:b/>
                <w:bCs/>
                <w:sz w:val="20"/>
                <w:szCs w:val="20"/>
              </w:rPr>
            </w:pPr>
            <w:r w:rsidRPr="00E50B5E">
              <w:rPr>
                <w:rFonts w:ascii="Calibri" w:eastAsia="Times New Roman" w:hAnsi="Calibri" w:cs="Calibri"/>
                <w:b/>
                <w:bCs/>
                <w:sz w:val="20"/>
                <w:szCs w:val="20"/>
              </w:rPr>
              <w:t>30-Day      T-Bill</w:t>
            </w:r>
          </w:p>
        </w:tc>
        <w:tc>
          <w:tcPr>
            <w:tcW w:w="820" w:type="dxa"/>
            <w:tcBorders>
              <w:top w:val="single" w:sz="4" w:space="0" w:color="auto"/>
              <w:left w:val="nil"/>
              <w:bottom w:val="single" w:sz="4" w:space="0" w:color="auto"/>
              <w:right w:val="single" w:sz="4" w:space="0" w:color="auto"/>
            </w:tcBorders>
            <w:shd w:val="clear" w:color="auto" w:fill="auto"/>
            <w:vAlign w:val="bottom"/>
            <w:hideMark/>
          </w:tcPr>
          <w:p w14:paraId="19718A5B" w14:textId="77777777" w:rsidR="006739E3" w:rsidRPr="00E50B5E" w:rsidRDefault="006739E3" w:rsidP="00460015">
            <w:pPr>
              <w:jc w:val="center"/>
              <w:rPr>
                <w:rFonts w:ascii="Calibri" w:eastAsia="Times New Roman" w:hAnsi="Calibri" w:cs="Calibri"/>
                <w:b/>
                <w:bCs/>
                <w:sz w:val="20"/>
                <w:szCs w:val="20"/>
              </w:rPr>
            </w:pPr>
            <w:r w:rsidRPr="00E50B5E">
              <w:rPr>
                <w:rFonts w:ascii="Calibri" w:eastAsia="Times New Roman" w:hAnsi="Calibri" w:cs="Calibri"/>
                <w:b/>
                <w:bCs/>
                <w:sz w:val="20"/>
                <w:szCs w:val="20"/>
              </w:rPr>
              <w:t>2-Year       T-Note</w:t>
            </w:r>
          </w:p>
        </w:tc>
      </w:tr>
      <w:tr w:rsidR="006739E3" w:rsidRPr="00E50B5E" w14:paraId="39FB56FA" w14:textId="77777777" w:rsidTr="00460015">
        <w:trPr>
          <w:trHeight w:val="255"/>
        </w:trPr>
        <w:tc>
          <w:tcPr>
            <w:tcW w:w="1840" w:type="dxa"/>
            <w:tcBorders>
              <w:top w:val="nil"/>
              <w:left w:val="single" w:sz="4" w:space="0" w:color="auto"/>
              <w:bottom w:val="single" w:sz="4" w:space="0" w:color="auto"/>
              <w:right w:val="single" w:sz="4" w:space="0" w:color="auto"/>
            </w:tcBorders>
            <w:shd w:val="clear" w:color="auto" w:fill="auto"/>
            <w:vAlign w:val="bottom"/>
            <w:hideMark/>
          </w:tcPr>
          <w:p w14:paraId="2385E304" w14:textId="77777777" w:rsidR="006739E3" w:rsidRPr="00E50B5E" w:rsidRDefault="006739E3" w:rsidP="00460015">
            <w:pPr>
              <w:rPr>
                <w:rFonts w:ascii="Calibri" w:eastAsia="Times New Roman" w:hAnsi="Calibri" w:cs="Calibri"/>
                <w:b/>
                <w:bCs/>
                <w:sz w:val="20"/>
                <w:szCs w:val="20"/>
              </w:rPr>
            </w:pPr>
            <w:r w:rsidRPr="00E50B5E">
              <w:rPr>
                <w:rFonts w:ascii="Calibri" w:eastAsia="Times New Roman" w:hAnsi="Calibri" w:cs="Calibri"/>
                <w:b/>
                <w:bCs/>
                <w:sz w:val="20"/>
                <w:szCs w:val="20"/>
              </w:rPr>
              <w:t>FY 22-23</w:t>
            </w:r>
          </w:p>
        </w:tc>
        <w:tc>
          <w:tcPr>
            <w:tcW w:w="820" w:type="dxa"/>
            <w:tcBorders>
              <w:top w:val="nil"/>
              <w:left w:val="nil"/>
              <w:bottom w:val="single" w:sz="4" w:space="0" w:color="auto"/>
              <w:right w:val="single" w:sz="4" w:space="0" w:color="auto"/>
            </w:tcBorders>
            <w:shd w:val="clear" w:color="auto" w:fill="auto"/>
            <w:vAlign w:val="bottom"/>
            <w:hideMark/>
          </w:tcPr>
          <w:p w14:paraId="6262D430" w14:textId="77777777" w:rsidR="006739E3" w:rsidRPr="00E50B5E" w:rsidRDefault="006739E3" w:rsidP="00460015">
            <w:pPr>
              <w:jc w:val="right"/>
              <w:rPr>
                <w:rFonts w:ascii="Arial" w:eastAsia="Times New Roman" w:hAnsi="Arial" w:cs="Arial"/>
                <w:b/>
                <w:bCs/>
                <w:sz w:val="16"/>
                <w:szCs w:val="16"/>
              </w:rPr>
            </w:pPr>
            <w:r w:rsidRPr="00E50B5E">
              <w:rPr>
                <w:rFonts w:ascii="Arial" w:eastAsia="Times New Roman" w:hAnsi="Arial" w:cs="Arial"/>
                <w:b/>
                <w:bCs/>
                <w:sz w:val="16"/>
                <w:szCs w:val="16"/>
              </w:rPr>
              <w:t>0.53%</w:t>
            </w:r>
          </w:p>
        </w:tc>
        <w:tc>
          <w:tcPr>
            <w:tcW w:w="1080" w:type="dxa"/>
            <w:tcBorders>
              <w:top w:val="nil"/>
              <w:left w:val="nil"/>
              <w:bottom w:val="single" w:sz="4" w:space="0" w:color="auto"/>
              <w:right w:val="single" w:sz="4" w:space="0" w:color="auto"/>
            </w:tcBorders>
            <w:shd w:val="clear" w:color="auto" w:fill="auto"/>
            <w:vAlign w:val="bottom"/>
            <w:hideMark/>
          </w:tcPr>
          <w:p w14:paraId="04731713" w14:textId="77777777" w:rsidR="006739E3" w:rsidRPr="00E50B5E" w:rsidRDefault="006739E3" w:rsidP="00460015">
            <w:pPr>
              <w:jc w:val="right"/>
              <w:rPr>
                <w:rFonts w:ascii="Arial" w:eastAsia="Times New Roman" w:hAnsi="Arial" w:cs="Arial"/>
                <w:b/>
                <w:bCs/>
                <w:sz w:val="16"/>
                <w:szCs w:val="16"/>
              </w:rPr>
            </w:pPr>
            <w:r w:rsidRPr="00E50B5E">
              <w:rPr>
                <w:rFonts w:ascii="Arial" w:eastAsia="Times New Roman" w:hAnsi="Arial" w:cs="Arial"/>
                <w:b/>
                <w:bCs/>
                <w:sz w:val="16"/>
                <w:szCs w:val="16"/>
              </w:rPr>
              <w:t>0.53%</w:t>
            </w:r>
          </w:p>
        </w:tc>
        <w:tc>
          <w:tcPr>
            <w:tcW w:w="940" w:type="dxa"/>
            <w:tcBorders>
              <w:top w:val="nil"/>
              <w:left w:val="nil"/>
              <w:bottom w:val="single" w:sz="4" w:space="0" w:color="auto"/>
              <w:right w:val="single" w:sz="4" w:space="0" w:color="auto"/>
            </w:tcBorders>
            <w:shd w:val="clear" w:color="auto" w:fill="auto"/>
            <w:vAlign w:val="bottom"/>
            <w:hideMark/>
          </w:tcPr>
          <w:p w14:paraId="4E48DB04" w14:textId="77777777" w:rsidR="006739E3" w:rsidRPr="00E50B5E" w:rsidRDefault="006739E3" w:rsidP="00460015">
            <w:pPr>
              <w:jc w:val="right"/>
              <w:rPr>
                <w:rFonts w:ascii="Arial" w:eastAsia="Times New Roman" w:hAnsi="Arial" w:cs="Arial"/>
                <w:b/>
                <w:bCs/>
                <w:sz w:val="16"/>
                <w:szCs w:val="16"/>
              </w:rPr>
            </w:pPr>
            <w:r w:rsidRPr="00E50B5E">
              <w:rPr>
                <w:rFonts w:ascii="Arial" w:eastAsia="Times New Roman" w:hAnsi="Arial" w:cs="Arial"/>
                <w:b/>
                <w:bCs/>
                <w:sz w:val="16"/>
                <w:szCs w:val="16"/>
              </w:rPr>
              <w:t>0.53%</w:t>
            </w:r>
          </w:p>
        </w:tc>
        <w:tc>
          <w:tcPr>
            <w:tcW w:w="820" w:type="dxa"/>
            <w:tcBorders>
              <w:top w:val="nil"/>
              <w:left w:val="nil"/>
              <w:bottom w:val="single" w:sz="4" w:space="0" w:color="auto"/>
              <w:right w:val="single" w:sz="4" w:space="0" w:color="auto"/>
            </w:tcBorders>
            <w:shd w:val="clear" w:color="auto" w:fill="auto"/>
            <w:vAlign w:val="bottom"/>
            <w:hideMark/>
          </w:tcPr>
          <w:p w14:paraId="5C06FB3F" w14:textId="77777777" w:rsidR="006739E3" w:rsidRPr="00E50B5E" w:rsidRDefault="006739E3" w:rsidP="00460015">
            <w:pPr>
              <w:jc w:val="right"/>
              <w:rPr>
                <w:rFonts w:ascii="Arial" w:eastAsia="Times New Roman" w:hAnsi="Arial" w:cs="Arial"/>
                <w:b/>
                <w:bCs/>
                <w:sz w:val="16"/>
                <w:szCs w:val="16"/>
              </w:rPr>
            </w:pPr>
            <w:r w:rsidRPr="00E50B5E">
              <w:rPr>
                <w:rFonts w:ascii="Arial" w:eastAsia="Times New Roman" w:hAnsi="Arial" w:cs="Arial"/>
                <w:b/>
                <w:bCs/>
                <w:sz w:val="16"/>
                <w:szCs w:val="16"/>
              </w:rPr>
              <w:t>0.53%</w:t>
            </w:r>
          </w:p>
        </w:tc>
        <w:tc>
          <w:tcPr>
            <w:tcW w:w="820" w:type="dxa"/>
            <w:tcBorders>
              <w:top w:val="nil"/>
              <w:left w:val="nil"/>
              <w:bottom w:val="single" w:sz="4" w:space="0" w:color="auto"/>
              <w:right w:val="single" w:sz="4" w:space="0" w:color="auto"/>
            </w:tcBorders>
            <w:shd w:val="clear" w:color="auto" w:fill="auto"/>
            <w:vAlign w:val="bottom"/>
            <w:hideMark/>
          </w:tcPr>
          <w:p w14:paraId="12E19514" w14:textId="77777777" w:rsidR="006739E3" w:rsidRPr="00E50B5E" w:rsidRDefault="006739E3" w:rsidP="00460015">
            <w:pPr>
              <w:jc w:val="right"/>
              <w:rPr>
                <w:rFonts w:ascii="Arial" w:eastAsia="Times New Roman" w:hAnsi="Arial" w:cs="Arial"/>
                <w:b/>
                <w:bCs/>
                <w:sz w:val="16"/>
                <w:szCs w:val="16"/>
              </w:rPr>
            </w:pPr>
            <w:r w:rsidRPr="00E50B5E">
              <w:rPr>
                <w:rFonts w:ascii="Arial" w:eastAsia="Times New Roman" w:hAnsi="Arial" w:cs="Arial"/>
                <w:b/>
                <w:bCs/>
                <w:sz w:val="16"/>
                <w:szCs w:val="16"/>
              </w:rPr>
              <w:t>0.53%</w:t>
            </w:r>
          </w:p>
        </w:tc>
        <w:tc>
          <w:tcPr>
            <w:tcW w:w="880" w:type="dxa"/>
            <w:tcBorders>
              <w:top w:val="nil"/>
              <w:left w:val="nil"/>
              <w:bottom w:val="single" w:sz="4" w:space="0" w:color="auto"/>
              <w:right w:val="single" w:sz="4" w:space="0" w:color="auto"/>
            </w:tcBorders>
            <w:shd w:val="clear" w:color="auto" w:fill="auto"/>
            <w:vAlign w:val="bottom"/>
            <w:hideMark/>
          </w:tcPr>
          <w:p w14:paraId="7320D709" w14:textId="77777777" w:rsidR="006739E3" w:rsidRPr="00E50B5E" w:rsidRDefault="006739E3" w:rsidP="00460015">
            <w:pPr>
              <w:jc w:val="right"/>
              <w:rPr>
                <w:rFonts w:ascii="Arial" w:eastAsia="Times New Roman" w:hAnsi="Arial" w:cs="Arial"/>
                <w:b/>
                <w:bCs/>
                <w:sz w:val="16"/>
                <w:szCs w:val="16"/>
              </w:rPr>
            </w:pPr>
            <w:r w:rsidRPr="00E50B5E">
              <w:rPr>
                <w:rFonts w:ascii="Arial" w:eastAsia="Times New Roman" w:hAnsi="Arial" w:cs="Arial"/>
                <w:b/>
                <w:bCs/>
                <w:sz w:val="16"/>
                <w:szCs w:val="16"/>
              </w:rPr>
              <w:t>0.53%</w:t>
            </w:r>
          </w:p>
        </w:tc>
        <w:tc>
          <w:tcPr>
            <w:tcW w:w="820" w:type="dxa"/>
            <w:tcBorders>
              <w:top w:val="nil"/>
              <w:left w:val="nil"/>
              <w:bottom w:val="single" w:sz="4" w:space="0" w:color="auto"/>
              <w:right w:val="single" w:sz="4" w:space="0" w:color="auto"/>
            </w:tcBorders>
            <w:shd w:val="clear" w:color="auto" w:fill="auto"/>
            <w:vAlign w:val="bottom"/>
            <w:hideMark/>
          </w:tcPr>
          <w:p w14:paraId="4DE66C01" w14:textId="77777777" w:rsidR="006739E3" w:rsidRPr="00E50B5E" w:rsidRDefault="006739E3" w:rsidP="00460015">
            <w:pPr>
              <w:jc w:val="right"/>
              <w:rPr>
                <w:rFonts w:ascii="Arial" w:eastAsia="Times New Roman" w:hAnsi="Arial" w:cs="Arial"/>
                <w:b/>
                <w:bCs/>
                <w:sz w:val="16"/>
                <w:szCs w:val="16"/>
              </w:rPr>
            </w:pPr>
            <w:r w:rsidRPr="00E50B5E">
              <w:rPr>
                <w:rFonts w:ascii="Arial" w:eastAsia="Times New Roman" w:hAnsi="Arial" w:cs="Arial"/>
                <w:b/>
                <w:bCs/>
                <w:sz w:val="16"/>
                <w:szCs w:val="16"/>
              </w:rPr>
              <w:t>0.53%</w:t>
            </w:r>
          </w:p>
        </w:tc>
        <w:tc>
          <w:tcPr>
            <w:tcW w:w="820" w:type="dxa"/>
            <w:tcBorders>
              <w:top w:val="nil"/>
              <w:left w:val="nil"/>
              <w:bottom w:val="single" w:sz="4" w:space="0" w:color="auto"/>
              <w:right w:val="single" w:sz="4" w:space="0" w:color="auto"/>
            </w:tcBorders>
            <w:shd w:val="clear" w:color="auto" w:fill="auto"/>
            <w:vAlign w:val="bottom"/>
            <w:hideMark/>
          </w:tcPr>
          <w:p w14:paraId="1BCA4665" w14:textId="77777777" w:rsidR="006739E3" w:rsidRPr="00E50B5E" w:rsidRDefault="006739E3" w:rsidP="00460015">
            <w:pPr>
              <w:jc w:val="right"/>
              <w:rPr>
                <w:rFonts w:ascii="Arial" w:eastAsia="Times New Roman" w:hAnsi="Arial" w:cs="Arial"/>
                <w:b/>
                <w:bCs/>
                <w:sz w:val="16"/>
                <w:szCs w:val="16"/>
              </w:rPr>
            </w:pPr>
            <w:r w:rsidRPr="00E50B5E">
              <w:rPr>
                <w:rFonts w:ascii="Arial" w:eastAsia="Times New Roman" w:hAnsi="Arial" w:cs="Arial"/>
                <w:b/>
                <w:bCs/>
                <w:sz w:val="16"/>
                <w:szCs w:val="16"/>
              </w:rPr>
              <w:t>0.53%</w:t>
            </w:r>
          </w:p>
        </w:tc>
      </w:tr>
      <w:tr w:rsidR="006739E3" w:rsidRPr="00E50B5E" w14:paraId="4C475604" w14:textId="77777777" w:rsidTr="00460015">
        <w:trPr>
          <w:trHeight w:val="25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7A4476D4" w14:textId="77777777" w:rsidR="006739E3" w:rsidRPr="00E50B5E" w:rsidRDefault="006739E3" w:rsidP="00460015">
            <w:pPr>
              <w:rPr>
                <w:rFonts w:ascii="Arial" w:eastAsia="Times New Roman" w:hAnsi="Arial" w:cs="Arial"/>
                <w:sz w:val="16"/>
                <w:szCs w:val="16"/>
              </w:rPr>
            </w:pPr>
            <w:r w:rsidRPr="00E50B5E">
              <w:rPr>
                <w:rFonts w:ascii="Arial" w:eastAsia="Times New Roman" w:hAnsi="Arial" w:cs="Arial"/>
                <w:sz w:val="16"/>
                <w:szCs w:val="16"/>
              </w:rPr>
              <w:t>Avg Since Inception</w:t>
            </w:r>
          </w:p>
        </w:tc>
        <w:tc>
          <w:tcPr>
            <w:tcW w:w="820" w:type="dxa"/>
            <w:tcBorders>
              <w:top w:val="nil"/>
              <w:left w:val="nil"/>
              <w:bottom w:val="single" w:sz="4" w:space="0" w:color="auto"/>
              <w:right w:val="single" w:sz="4" w:space="0" w:color="auto"/>
            </w:tcBorders>
            <w:shd w:val="clear" w:color="auto" w:fill="auto"/>
            <w:noWrap/>
            <w:vAlign w:val="bottom"/>
            <w:hideMark/>
          </w:tcPr>
          <w:p w14:paraId="2F8FA431" w14:textId="77777777" w:rsidR="006739E3" w:rsidRPr="00E50B5E" w:rsidRDefault="006739E3" w:rsidP="00460015">
            <w:pPr>
              <w:jc w:val="right"/>
              <w:rPr>
                <w:rFonts w:ascii="Arial" w:eastAsia="Times New Roman" w:hAnsi="Arial" w:cs="Arial"/>
                <w:sz w:val="16"/>
                <w:szCs w:val="16"/>
              </w:rPr>
            </w:pPr>
            <w:r w:rsidRPr="00E50B5E">
              <w:rPr>
                <w:rFonts w:ascii="Arial" w:eastAsia="Times New Roman" w:hAnsi="Arial" w:cs="Arial"/>
                <w:sz w:val="16"/>
                <w:szCs w:val="16"/>
              </w:rPr>
              <w:t>4.15%</w:t>
            </w:r>
          </w:p>
        </w:tc>
        <w:tc>
          <w:tcPr>
            <w:tcW w:w="1080" w:type="dxa"/>
            <w:tcBorders>
              <w:top w:val="nil"/>
              <w:left w:val="nil"/>
              <w:bottom w:val="single" w:sz="4" w:space="0" w:color="auto"/>
              <w:right w:val="single" w:sz="4" w:space="0" w:color="auto"/>
            </w:tcBorders>
            <w:shd w:val="clear" w:color="auto" w:fill="auto"/>
            <w:noWrap/>
            <w:vAlign w:val="bottom"/>
            <w:hideMark/>
          </w:tcPr>
          <w:p w14:paraId="349ACB56" w14:textId="77777777" w:rsidR="006739E3" w:rsidRPr="00E50B5E" w:rsidRDefault="006739E3" w:rsidP="00460015">
            <w:pPr>
              <w:jc w:val="right"/>
              <w:rPr>
                <w:rFonts w:ascii="Arial" w:eastAsia="Times New Roman" w:hAnsi="Arial" w:cs="Arial"/>
                <w:sz w:val="16"/>
                <w:szCs w:val="16"/>
              </w:rPr>
            </w:pPr>
            <w:r w:rsidRPr="00E50B5E">
              <w:rPr>
                <w:rFonts w:ascii="Arial" w:eastAsia="Times New Roman" w:hAnsi="Arial" w:cs="Arial"/>
                <w:sz w:val="16"/>
                <w:szCs w:val="16"/>
              </w:rPr>
              <w:t>2.75%</w:t>
            </w:r>
          </w:p>
        </w:tc>
        <w:tc>
          <w:tcPr>
            <w:tcW w:w="940" w:type="dxa"/>
            <w:tcBorders>
              <w:top w:val="nil"/>
              <w:left w:val="nil"/>
              <w:bottom w:val="single" w:sz="4" w:space="0" w:color="auto"/>
              <w:right w:val="single" w:sz="4" w:space="0" w:color="auto"/>
            </w:tcBorders>
            <w:shd w:val="clear" w:color="auto" w:fill="auto"/>
            <w:noWrap/>
            <w:vAlign w:val="bottom"/>
            <w:hideMark/>
          </w:tcPr>
          <w:p w14:paraId="31776C6C" w14:textId="77777777" w:rsidR="006739E3" w:rsidRPr="00E50B5E" w:rsidRDefault="006739E3" w:rsidP="00460015">
            <w:pPr>
              <w:jc w:val="right"/>
              <w:rPr>
                <w:rFonts w:ascii="Arial" w:eastAsia="Times New Roman" w:hAnsi="Arial" w:cs="Arial"/>
                <w:sz w:val="16"/>
                <w:szCs w:val="16"/>
              </w:rPr>
            </w:pPr>
            <w:r w:rsidRPr="00E50B5E">
              <w:rPr>
                <w:rFonts w:ascii="Arial" w:eastAsia="Times New Roman" w:hAnsi="Arial" w:cs="Arial"/>
                <w:sz w:val="16"/>
                <w:szCs w:val="16"/>
              </w:rPr>
              <w:t>10.19%</w:t>
            </w:r>
          </w:p>
        </w:tc>
        <w:tc>
          <w:tcPr>
            <w:tcW w:w="820" w:type="dxa"/>
            <w:tcBorders>
              <w:top w:val="nil"/>
              <w:left w:val="nil"/>
              <w:bottom w:val="single" w:sz="4" w:space="0" w:color="auto"/>
              <w:right w:val="single" w:sz="4" w:space="0" w:color="auto"/>
            </w:tcBorders>
            <w:shd w:val="clear" w:color="auto" w:fill="auto"/>
            <w:noWrap/>
            <w:vAlign w:val="bottom"/>
            <w:hideMark/>
          </w:tcPr>
          <w:p w14:paraId="4D873E54" w14:textId="77777777" w:rsidR="006739E3" w:rsidRPr="00E50B5E" w:rsidRDefault="006739E3" w:rsidP="00460015">
            <w:pPr>
              <w:jc w:val="right"/>
              <w:rPr>
                <w:rFonts w:ascii="Arial" w:eastAsia="Times New Roman" w:hAnsi="Arial" w:cs="Arial"/>
                <w:sz w:val="16"/>
                <w:szCs w:val="16"/>
              </w:rPr>
            </w:pPr>
            <w:r w:rsidRPr="00E50B5E">
              <w:rPr>
                <w:rFonts w:ascii="Arial" w:eastAsia="Times New Roman" w:hAnsi="Arial" w:cs="Arial"/>
                <w:sz w:val="16"/>
                <w:szCs w:val="16"/>
              </w:rPr>
              <w:t>10.38%</w:t>
            </w:r>
          </w:p>
        </w:tc>
        <w:tc>
          <w:tcPr>
            <w:tcW w:w="820" w:type="dxa"/>
            <w:tcBorders>
              <w:top w:val="nil"/>
              <w:left w:val="nil"/>
              <w:bottom w:val="single" w:sz="4" w:space="0" w:color="auto"/>
              <w:right w:val="single" w:sz="4" w:space="0" w:color="auto"/>
            </w:tcBorders>
            <w:shd w:val="clear" w:color="auto" w:fill="auto"/>
            <w:noWrap/>
            <w:vAlign w:val="bottom"/>
            <w:hideMark/>
          </w:tcPr>
          <w:p w14:paraId="586F0736" w14:textId="77777777" w:rsidR="006739E3" w:rsidRPr="00E50B5E" w:rsidRDefault="006739E3" w:rsidP="00460015">
            <w:pPr>
              <w:jc w:val="right"/>
              <w:rPr>
                <w:rFonts w:ascii="Arial" w:eastAsia="Times New Roman" w:hAnsi="Arial" w:cs="Arial"/>
                <w:sz w:val="16"/>
                <w:szCs w:val="16"/>
              </w:rPr>
            </w:pPr>
            <w:r w:rsidRPr="00E50B5E">
              <w:rPr>
                <w:rFonts w:ascii="Arial" w:eastAsia="Times New Roman" w:hAnsi="Arial" w:cs="Arial"/>
                <w:sz w:val="16"/>
                <w:szCs w:val="16"/>
              </w:rPr>
              <w:t>11.87%</w:t>
            </w:r>
          </w:p>
        </w:tc>
        <w:tc>
          <w:tcPr>
            <w:tcW w:w="880" w:type="dxa"/>
            <w:tcBorders>
              <w:top w:val="nil"/>
              <w:left w:val="nil"/>
              <w:bottom w:val="single" w:sz="4" w:space="0" w:color="auto"/>
              <w:right w:val="single" w:sz="4" w:space="0" w:color="auto"/>
            </w:tcBorders>
            <w:shd w:val="clear" w:color="auto" w:fill="auto"/>
            <w:noWrap/>
            <w:vAlign w:val="bottom"/>
            <w:hideMark/>
          </w:tcPr>
          <w:p w14:paraId="367495A2" w14:textId="77777777" w:rsidR="006739E3" w:rsidRPr="00E50B5E" w:rsidRDefault="006739E3" w:rsidP="00460015">
            <w:pPr>
              <w:jc w:val="right"/>
              <w:rPr>
                <w:rFonts w:ascii="Arial" w:eastAsia="Times New Roman" w:hAnsi="Arial" w:cs="Arial"/>
                <w:sz w:val="16"/>
                <w:szCs w:val="16"/>
              </w:rPr>
            </w:pPr>
            <w:r w:rsidRPr="00E50B5E">
              <w:rPr>
                <w:rFonts w:ascii="Arial" w:eastAsia="Times New Roman" w:hAnsi="Arial" w:cs="Arial"/>
                <w:sz w:val="16"/>
                <w:szCs w:val="16"/>
              </w:rPr>
              <w:t>5.51%</w:t>
            </w:r>
          </w:p>
        </w:tc>
        <w:tc>
          <w:tcPr>
            <w:tcW w:w="820" w:type="dxa"/>
            <w:tcBorders>
              <w:top w:val="nil"/>
              <w:left w:val="nil"/>
              <w:bottom w:val="single" w:sz="4" w:space="0" w:color="auto"/>
              <w:right w:val="single" w:sz="4" w:space="0" w:color="auto"/>
            </w:tcBorders>
            <w:shd w:val="clear" w:color="auto" w:fill="auto"/>
            <w:noWrap/>
            <w:vAlign w:val="bottom"/>
            <w:hideMark/>
          </w:tcPr>
          <w:p w14:paraId="319D3AB9" w14:textId="77777777" w:rsidR="006739E3" w:rsidRPr="00E50B5E" w:rsidRDefault="006739E3" w:rsidP="00460015">
            <w:pPr>
              <w:jc w:val="right"/>
              <w:rPr>
                <w:rFonts w:ascii="Arial" w:eastAsia="Times New Roman" w:hAnsi="Arial" w:cs="Arial"/>
                <w:sz w:val="16"/>
                <w:szCs w:val="16"/>
              </w:rPr>
            </w:pPr>
            <w:r w:rsidRPr="00E50B5E">
              <w:rPr>
                <w:rFonts w:ascii="Arial" w:eastAsia="Times New Roman" w:hAnsi="Arial" w:cs="Arial"/>
                <w:sz w:val="16"/>
                <w:szCs w:val="16"/>
              </w:rPr>
              <w:t>1.22%</w:t>
            </w:r>
          </w:p>
        </w:tc>
        <w:tc>
          <w:tcPr>
            <w:tcW w:w="820" w:type="dxa"/>
            <w:tcBorders>
              <w:top w:val="nil"/>
              <w:left w:val="nil"/>
              <w:bottom w:val="single" w:sz="4" w:space="0" w:color="auto"/>
              <w:right w:val="single" w:sz="4" w:space="0" w:color="auto"/>
            </w:tcBorders>
            <w:shd w:val="clear" w:color="auto" w:fill="auto"/>
            <w:noWrap/>
            <w:vAlign w:val="bottom"/>
            <w:hideMark/>
          </w:tcPr>
          <w:p w14:paraId="77E2A0FF" w14:textId="77777777" w:rsidR="006739E3" w:rsidRPr="00E50B5E" w:rsidRDefault="006739E3" w:rsidP="00460015">
            <w:pPr>
              <w:jc w:val="right"/>
              <w:rPr>
                <w:rFonts w:ascii="Arial" w:eastAsia="Times New Roman" w:hAnsi="Arial" w:cs="Arial"/>
                <w:sz w:val="16"/>
                <w:szCs w:val="16"/>
              </w:rPr>
            </w:pPr>
            <w:r w:rsidRPr="00E50B5E">
              <w:rPr>
                <w:rFonts w:ascii="Arial" w:eastAsia="Times New Roman" w:hAnsi="Arial" w:cs="Arial"/>
                <w:sz w:val="16"/>
                <w:szCs w:val="16"/>
              </w:rPr>
              <w:t>1.95%</w:t>
            </w:r>
          </w:p>
        </w:tc>
      </w:tr>
      <w:tr w:rsidR="006739E3" w:rsidRPr="00E50B5E" w14:paraId="6EC72AF3" w14:textId="77777777" w:rsidTr="00460015">
        <w:trPr>
          <w:trHeight w:val="25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67BBA933" w14:textId="77777777" w:rsidR="006739E3" w:rsidRPr="00E50B5E" w:rsidRDefault="006739E3" w:rsidP="00460015">
            <w:pPr>
              <w:rPr>
                <w:rFonts w:ascii="Arial" w:eastAsia="Times New Roman" w:hAnsi="Arial" w:cs="Arial"/>
                <w:sz w:val="16"/>
                <w:szCs w:val="16"/>
              </w:rPr>
            </w:pPr>
            <w:r w:rsidRPr="00E50B5E">
              <w:rPr>
                <w:rFonts w:ascii="Arial" w:eastAsia="Times New Roman" w:hAnsi="Arial" w:cs="Arial"/>
                <w:sz w:val="16"/>
                <w:szCs w:val="16"/>
              </w:rPr>
              <w:t xml:space="preserve">5 </w:t>
            </w:r>
            <w:proofErr w:type="spellStart"/>
            <w:r w:rsidRPr="00E50B5E">
              <w:rPr>
                <w:rFonts w:ascii="Arial" w:eastAsia="Times New Roman" w:hAnsi="Arial" w:cs="Arial"/>
                <w:sz w:val="16"/>
                <w:szCs w:val="16"/>
              </w:rPr>
              <w:t>Yr</w:t>
            </w:r>
            <w:proofErr w:type="spellEnd"/>
            <w:r w:rsidRPr="00E50B5E">
              <w:rPr>
                <w:rFonts w:ascii="Arial" w:eastAsia="Times New Roman" w:hAnsi="Arial" w:cs="Arial"/>
                <w:sz w:val="16"/>
                <w:szCs w:val="16"/>
              </w:rPr>
              <w:t xml:space="preserve"> Average</w:t>
            </w:r>
          </w:p>
        </w:tc>
        <w:tc>
          <w:tcPr>
            <w:tcW w:w="820" w:type="dxa"/>
            <w:tcBorders>
              <w:top w:val="nil"/>
              <w:left w:val="nil"/>
              <w:bottom w:val="single" w:sz="4" w:space="0" w:color="auto"/>
              <w:right w:val="single" w:sz="4" w:space="0" w:color="auto"/>
            </w:tcBorders>
            <w:shd w:val="clear" w:color="auto" w:fill="auto"/>
            <w:noWrap/>
            <w:vAlign w:val="bottom"/>
            <w:hideMark/>
          </w:tcPr>
          <w:p w14:paraId="2556E9E3" w14:textId="77777777" w:rsidR="006739E3" w:rsidRPr="00E50B5E" w:rsidRDefault="006739E3" w:rsidP="00460015">
            <w:pPr>
              <w:jc w:val="right"/>
              <w:rPr>
                <w:rFonts w:ascii="Arial" w:eastAsia="Times New Roman" w:hAnsi="Arial" w:cs="Arial"/>
                <w:sz w:val="16"/>
                <w:szCs w:val="16"/>
              </w:rPr>
            </w:pPr>
            <w:r w:rsidRPr="00E50B5E">
              <w:rPr>
                <w:rFonts w:ascii="Arial" w:eastAsia="Times New Roman" w:hAnsi="Arial" w:cs="Arial"/>
                <w:sz w:val="16"/>
                <w:szCs w:val="16"/>
              </w:rPr>
              <w:t>1.24%</w:t>
            </w:r>
          </w:p>
        </w:tc>
        <w:tc>
          <w:tcPr>
            <w:tcW w:w="1080" w:type="dxa"/>
            <w:tcBorders>
              <w:top w:val="nil"/>
              <w:left w:val="nil"/>
              <w:bottom w:val="single" w:sz="4" w:space="0" w:color="auto"/>
              <w:right w:val="single" w:sz="4" w:space="0" w:color="auto"/>
            </w:tcBorders>
            <w:shd w:val="clear" w:color="auto" w:fill="auto"/>
            <w:noWrap/>
            <w:vAlign w:val="bottom"/>
            <w:hideMark/>
          </w:tcPr>
          <w:p w14:paraId="12577392" w14:textId="77777777" w:rsidR="006739E3" w:rsidRPr="00E50B5E" w:rsidRDefault="006739E3" w:rsidP="00460015">
            <w:pPr>
              <w:jc w:val="right"/>
              <w:rPr>
                <w:rFonts w:ascii="Arial" w:eastAsia="Times New Roman" w:hAnsi="Arial" w:cs="Arial"/>
                <w:sz w:val="16"/>
                <w:szCs w:val="16"/>
              </w:rPr>
            </w:pPr>
            <w:r w:rsidRPr="00E50B5E">
              <w:rPr>
                <w:rFonts w:ascii="Arial" w:eastAsia="Times New Roman" w:hAnsi="Arial" w:cs="Arial"/>
                <w:sz w:val="16"/>
                <w:szCs w:val="16"/>
              </w:rPr>
              <w:t>-0.17%</w:t>
            </w:r>
          </w:p>
        </w:tc>
        <w:tc>
          <w:tcPr>
            <w:tcW w:w="940" w:type="dxa"/>
            <w:tcBorders>
              <w:top w:val="nil"/>
              <w:left w:val="nil"/>
              <w:bottom w:val="single" w:sz="4" w:space="0" w:color="auto"/>
              <w:right w:val="single" w:sz="4" w:space="0" w:color="auto"/>
            </w:tcBorders>
            <w:shd w:val="clear" w:color="auto" w:fill="auto"/>
            <w:noWrap/>
            <w:vAlign w:val="bottom"/>
            <w:hideMark/>
          </w:tcPr>
          <w:p w14:paraId="3FF9742B" w14:textId="77777777" w:rsidR="006739E3" w:rsidRPr="00E50B5E" w:rsidRDefault="006739E3" w:rsidP="00460015">
            <w:pPr>
              <w:jc w:val="right"/>
              <w:rPr>
                <w:rFonts w:ascii="Arial" w:eastAsia="Times New Roman" w:hAnsi="Arial" w:cs="Arial"/>
                <w:sz w:val="16"/>
                <w:szCs w:val="16"/>
              </w:rPr>
            </w:pPr>
            <w:r w:rsidRPr="00E50B5E">
              <w:rPr>
                <w:rFonts w:ascii="Arial" w:eastAsia="Times New Roman" w:hAnsi="Arial" w:cs="Arial"/>
                <w:sz w:val="16"/>
                <w:szCs w:val="16"/>
              </w:rPr>
              <w:t>10.38%</w:t>
            </w:r>
          </w:p>
        </w:tc>
        <w:tc>
          <w:tcPr>
            <w:tcW w:w="820" w:type="dxa"/>
            <w:tcBorders>
              <w:top w:val="nil"/>
              <w:left w:val="nil"/>
              <w:bottom w:val="single" w:sz="4" w:space="0" w:color="auto"/>
              <w:right w:val="single" w:sz="4" w:space="0" w:color="auto"/>
            </w:tcBorders>
            <w:shd w:val="clear" w:color="auto" w:fill="auto"/>
            <w:noWrap/>
            <w:vAlign w:val="bottom"/>
            <w:hideMark/>
          </w:tcPr>
          <w:p w14:paraId="5FEA5E13" w14:textId="77777777" w:rsidR="006739E3" w:rsidRPr="00E50B5E" w:rsidRDefault="006739E3" w:rsidP="00460015">
            <w:pPr>
              <w:jc w:val="right"/>
              <w:rPr>
                <w:rFonts w:ascii="Arial" w:eastAsia="Times New Roman" w:hAnsi="Arial" w:cs="Arial"/>
                <w:sz w:val="16"/>
                <w:szCs w:val="16"/>
              </w:rPr>
            </w:pPr>
            <w:r w:rsidRPr="00E50B5E">
              <w:rPr>
                <w:rFonts w:ascii="Arial" w:eastAsia="Times New Roman" w:hAnsi="Arial" w:cs="Arial"/>
                <w:sz w:val="16"/>
                <w:szCs w:val="16"/>
              </w:rPr>
              <w:t>13.54%</w:t>
            </w:r>
          </w:p>
        </w:tc>
        <w:tc>
          <w:tcPr>
            <w:tcW w:w="820" w:type="dxa"/>
            <w:tcBorders>
              <w:top w:val="nil"/>
              <w:left w:val="nil"/>
              <w:bottom w:val="single" w:sz="4" w:space="0" w:color="auto"/>
              <w:right w:val="single" w:sz="4" w:space="0" w:color="auto"/>
            </w:tcBorders>
            <w:shd w:val="clear" w:color="auto" w:fill="auto"/>
            <w:noWrap/>
            <w:vAlign w:val="bottom"/>
            <w:hideMark/>
          </w:tcPr>
          <w:p w14:paraId="3D27F18B" w14:textId="77777777" w:rsidR="006739E3" w:rsidRPr="00E50B5E" w:rsidRDefault="006739E3" w:rsidP="00460015">
            <w:pPr>
              <w:jc w:val="right"/>
              <w:rPr>
                <w:rFonts w:ascii="Arial" w:eastAsia="Times New Roman" w:hAnsi="Arial" w:cs="Arial"/>
                <w:sz w:val="16"/>
                <w:szCs w:val="16"/>
              </w:rPr>
            </w:pPr>
            <w:r w:rsidRPr="00E50B5E">
              <w:rPr>
                <w:rFonts w:ascii="Arial" w:eastAsia="Times New Roman" w:hAnsi="Arial" w:cs="Arial"/>
                <w:sz w:val="16"/>
                <w:szCs w:val="16"/>
              </w:rPr>
              <w:t>9.93%</w:t>
            </w:r>
          </w:p>
        </w:tc>
        <w:tc>
          <w:tcPr>
            <w:tcW w:w="880" w:type="dxa"/>
            <w:tcBorders>
              <w:top w:val="nil"/>
              <w:left w:val="nil"/>
              <w:bottom w:val="single" w:sz="4" w:space="0" w:color="auto"/>
              <w:right w:val="single" w:sz="4" w:space="0" w:color="auto"/>
            </w:tcBorders>
            <w:shd w:val="clear" w:color="auto" w:fill="auto"/>
            <w:noWrap/>
            <w:vAlign w:val="bottom"/>
            <w:hideMark/>
          </w:tcPr>
          <w:p w14:paraId="406A37E4" w14:textId="77777777" w:rsidR="006739E3" w:rsidRPr="00E50B5E" w:rsidRDefault="006739E3" w:rsidP="00460015">
            <w:pPr>
              <w:jc w:val="right"/>
              <w:rPr>
                <w:rFonts w:ascii="Arial" w:eastAsia="Times New Roman" w:hAnsi="Arial" w:cs="Arial"/>
                <w:sz w:val="16"/>
                <w:szCs w:val="16"/>
              </w:rPr>
            </w:pPr>
            <w:r w:rsidRPr="00E50B5E">
              <w:rPr>
                <w:rFonts w:ascii="Arial" w:eastAsia="Times New Roman" w:hAnsi="Arial" w:cs="Arial"/>
                <w:sz w:val="16"/>
                <w:szCs w:val="16"/>
              </w:rPr>
              <w:t>4.22%</w:t>
            </w:r>
          </w:p>
        </w:tc>
        <w:tc>
          <w:tcPr>
            <w:tcW w:w="820" w:type="dxa"/>
            <w:tcBorders>
              <w:top w:val="nil"/>
              <w:left w:val="nil"/>
              <w:bottom w:val="single" w:sz="4" w:space="0" w:color="auto"/>
              <w:right w:val="single" w:sz="4" w:space="0" w:color="auto"/>
            </w:tcBorders>
            <w:shd w:val="clear" w:color="auto" w:fill="auto"/>
            <w:noWrap/>
            <w:vAlign w:val="bottom"/>
            <w:hideMark/>
          </w:tcPr>
          <w:p w14:paraId="45EEE9DD" w14:textId="77777777" w:rsidR="006739E3" w:rsidRPr="00E50B5E" w:rsidRDefault="006739E3" w:rsidP="00460015">
            <w:pPr>
              <w:jc w:val="right"/>
              <w:rPr>
                <w:rFonts w:ascii="Arial" w:eastAsia="Times New Roman" w:hAnsi="Arial" w:cs="Arial"/>
                <w:sz w:val="16"/>
                <w:szCs w:val="16"/>
              </w:rPr>
            </w:pPr>
            <w:r w:rsidRPr="00E50B5E">
              <w:rPr>
                <w:rFonts w:ascii="Arial" w:eastAsia="Times New Roman" w:hAnsi="Arial" w:cs="Arial"/>
                <w:sz w:val="16"/>
                <w:szCs w:val="16"/>
              </w:rPr>
              <w:t>1.51%</w:t>
            </w:r>
          </w:p>
        </w:tc>
        <w:tc>
          <w:tcPr>
            <w:tcW w:w="820" w:type="dxa"/>
            <w:tcBorders>
              <w:top w:val="nil"/>
              <w:left w:val="nil"/>
              <w:bottom w:val="single" w:sz="4" w:space="0" w:color="auto"/>
              <w:right w:val="single" w:sz="4" w:space="0" w:color="auto"/>
            </w:tcBorders>
            <w:shd w:val="clear" w:color="auto" w:fill="auto"/>
            <w:noWrap/>
            <w:vAlign w:val="bottom"/>
            <w:hideMark/>
          </w:tcPr>
          <w:p w14:paraId="798E9A6C" w14:textId="77777777" w:rsidR="006739E3" w:rsidRPr="00E50B5E" w:rsidRDefault="006739E3" w:rsidP="00460015">
            <w:pPr>
              <w:jc w:val="right"/>
              <w:rPr>
                <w:rFonts w:ascii="Arial" w:eastAsia="Times New Roman" w:hAnsi="Arial" w:cs="Arial"/>
                <w:sz w:val="16"/>
                <w:szCs w:val="16"/>
              </w:rPr>
            </w:pPr>
            <w:r w:rsidRPr="00E50B5E">
              <w:rPr>
                <w:rFonts w:ascii="Arial" w:eastAsia="Times New Roman" w:hAnsi="Arial" w:cs="Arial"/>
                <w:sz w:val="16"/>
                <w:szCs w:val="16"/>
              </w:rPr>
              <w:t>0.78%</w:t>
            </w:r>
          </w:p>
        </w:tc>
      </w:tr>
      <w:tr w:rsidR="006739E3" w:rsidRPr="00E50B5E" w14:paraId="0E1AF84E" w14:textId="77777777" w:rsidTr="00460015">
        <w:trPr>
          <w:trHeight w:val="25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69C7A715" w14:textId="77777777" w:rsidR="006739E3" w:rsidRPr="00E50B5E" w:rsidRDefault="006739E3" w:rsidP="00460015">
            <w:pPr>
              <w:rPr>
                <w:rFonts w:ascii="Arial" w:eastAsia="Times New Roman" w:hAnsi="Arial" w:cs="Arial"/>
                <w:sz w:val="16"/>
                <w:szCs w:val="16"/>
              </w:rPr>
            </w:pPr>
            <w:r w:rsidRPr="00E50B5E">
              <w:rPr>
                <w:rFonts w:ascii="Arial" w:eastAsia="Times New Roman" w:hAnsi="Arial" w:cs="Arial"/>
                <w:sz w:val="16"/>
                <w:szCs w:val="16"/>
              </w:rPr>
              <w:t xml:space="preserve">10 </w:t>
            </w:r>
            <w:proofErr w:type="spellStart"/>
            <w:r w:rsidRPr="00E50B5E">
              <w:rPr>
                <w:rFonts w:ascii="Arial" w:eastAsia="Times New Roman" w:hAnsi="Arial" w:cs="Arial"/>
                <w:sz w:val="16"/>
                <w:szCs w:val="16"/>
              </w:rPr>
              <w:t>Yr</w:t>
            </w:r>
            <w:proofErr w:type="spellEnd"/>
            <w:r w:rsidRPr="00E50B5E">
              <w:rPr>
                <w:rFonts w:ascii="Arial" w:eastAsia="Times New Roman" w:hAnsi="Arial" w:cs="Arial"/>
                <w:sz w:val="16"/>
                <w:szCs w:val="16"/>
              </w:rPr>
              <w:t xml:space="preserve"> Average</w:t>
            </w:r>
          </w:p>
        </w:tc>
        <w:tc>
          <w:tcPr>
            <w:tcW w:w="820" w:type="dxa"/>
            <w:tcBorders>
              <w:top w:val="nil"/>
              <w:left w:val="nil"/>
              <w:bottom w:val="single" w:sz="4" w:space="0" w:color="auto"/>
              <w:right w:val="single" w:sz="4" w:space="0" w:color="auto"/>
            </w:tcBorders>
            <w:shd w:val="clear" w:color="auto" w:fill="auto"/>
            <w:noWrap/>
            <w:vAlign w:val="bottom"/>
            <w:hideMark/>
          </w:tcPr>
          <w:p w14:paraId="2B61C5BE" w14:textId="77777777" w:rsidR="006739E3" w:rsidRPr="00E50B5E" w:rsidRDefault="006739E3" w:rsidP="00460015">
            <w:pPr>
              <w:jc w:val="right"/>
              <w:rPr>
                <w:rFonts w:ascii="Arial" w:eastAsia="Times New Roman" w:hAnsi="Arial" w:cs="Arial"/>
                <w:sz w:val="16"/>
                <w:szCs w:val="16"/>
              </w:rPr>
            </w:pPr>
            <w:r w:rsidRPr="00E50B5E">
              <w:rPr>
                <w:rFonts w:ascii="Arial" w:eastAsia="Times New Roman" w:hAnsi="Arial" w:cs="Arial"/>
                <w:sz w:val="16"/>
                <w:szCs w:val="16"/>
              </w:rPr>
              <w:t>2.24%</w:t>
            </w:r>
          </w:p>
        </w:tc>
        <w:tc>
          <w:tcPr>
            <w:tcW w:w="1080" w:type="dxa"/>
            <w:tcBorders>
              <w:top w:val="nil"/>
              <w:left w:val="nil"/>
              <w:bottom w:val="single" w:sz="4" w:space="0" w:color="auto"/>
              <w:right w:val="single" w:sz="4" w:space="0" w:color="auto"/>
            </w:tcBorders>
            <w:shd w:val="clear" w:color="auto" w:fill="auto"/>
            <w:noWrap/>
            <w:vAlign w:val="bottom"/>
            <w:hideMark/>
          </w:tcPr>
          <w:p w14:paraId="60EBE030" w14:textId="77777777" w:rsidR="006739E3" w:rsidRPr="00E50B5E" w:rsidRDefault="006739E3" w:rsidP="00460015">
            <w:pPr>
              <w:jc w:val="right"/>
              <w:rPr>
                <w:rFonts w:ascii="Arial" w:eastAsia="Times New Roman" w:hAnsi="Arial" w:cs="Arial"/>
                <w:sz w:val="16"/>
                <w:szCs w:val="16"/>
              </w:rPr>
            </w:pPr>
            <w:r w:rsidRPr="00E50B5E">
              <w:rPr>
                <w:rFonts w:ascii="Arial" w:eastAsia="Times New Roman" w:hAnsi="Arial" w:cs="Arial"/>
                <w:sz w:val="16"/>
                <w:szCs w:val="16"/>
              </w:rPr>
              <w:t>0.78%</w:t>
            </w:r>
          </w:p>
        </w:tc>
        <w:tc>
          <w:tcPr>
            <w:tcW w:w="940" w:type="dxa"/>
            <w:tcBorders>
              <w:top w:val="nil"/>
              <w:left w:val="nil"/>
              <w:bottom w:val="single" w:sz="4" w:space="0" w:color="auto"/>
              <w:right w:val="single" w:sz="4" w:space="0" w:color="auto"/>
            </w:tcBorders>
            <w:shd w:val="clear" w:color="auto" w:fill="auto"/>
            <w:noWrap/>
            <w:vAlign w:val="bottom"/>
            <w:hideMark/>
          </w:tcPr>
          <w:p w14:paraId="54048D4B" w14:textId="77777777" w:rsidR="006739E3" w:rsidRPr="00E50B5E" w:rsidRDefault="006739E3" w:rsidP="00460015">
            <w:pPr>
              <w:jc w:val="right"/>
              <w:rPr>
                <w:rFonts w:ascii="Arial" w:eastAsia="Times New Roman" w:hAnsi="Arial" w:cs="Arial"/>
                <w:sz w:val="16"/>
                <w:szCs w:val="16"/>
              </w:rPr>
            </w:pPr>
            <w:r w:rsidRPr="00E50B5E">
              <w:rPr>
                <w:rFonts w:ascii="Arial" w:eastAsia="Times New Roman" w:hAnsi="Arial" w:cs="Arial"/>
                <w:sz w:val="16"/>
                <w:szCs w:val="16"/>
              </w:rPr>
              <w:t>11.65%</w:t>
            </w:r>
          </w:p>
        </w:tc>
        <w:tc>
          <w:tcPr>
            <w:tcW w:w="820" w:type="dxa"/>
            <w:tcBorders>
              <w:top w:val="nil"/>
              <w:left w:val="nil"/>
              <w:bottom w:val="single" w:sz="4" w:space="0" w:color="auto"/>
              <w:right w:val="single" w:sz="4" w:space="0" w:color="auto"/>
            </w:tcBorders>
            <w:shd w:val="clear" w:color="auto" w:fill="auto"/>
            <w:noWrap/>
            <w:vAlign w:val="bottom"/>
            <w:hideMark/>
          </w:tcPr>
          <w:p w14:paraId="4DAD59C0" w14:textId="77777777" w:rsidR="006739E3" w:rsidRPr="00E50B5E" w:rsidRDefault="006739E3" w:rsidP="00460015">
            <w:pPr>
              <w:jc w:val="right"/>
              <w:rPr>
                <w:rFonts w:ascii="Arial" w:eastAsia="Times New Roman" w:hAnsi="Arial" w:cs="Arial"/>
                <w:sz w:val="16"/>
                <w:szCs w:val="16"/>
              </w:rPr>
            </w:pPr>
            <w:r w:rsidRPr="00E50B5E">
              <w:rPr>
                <w:rFonts w:ascii="Arial" w:eastAsia="Times New Roman" w:hAnsi="Arial" w:cs="Arial"/>
                <w:sz w:val="16"/>
                <w:szCs w:val="16"/>
              </w:rPr>
              <w:t>12.98%</w:t>
            </w:r>
          </w:p>
        </w:tc>
        <w:tc>
          <w:tcPr>
            <w:tcW w:w="820" w:type="dxa"/>
            <w:tcBorders>
              <w:top w:val="nil"/>
              <w:left w:val="nil"/>
              <w:bottom w:val="single" w:sz="4" w:space="0" w:color="auto"/>
              <w:right w:val="single" w:sz="4" w:space="0" w:color="auto"/>
            </w:tcBorders>
            <w:shd w:val="clear" w:color="auto" w:fill="auto"/>
            <w:noWrap/>
            <w:vAlign w:val="bottom"/>
            <w:hideMark/>
          </w:tcPr>
          <w:p w14:paraId="0E58FCFC" w14:textId="77777777" w:rsidR="006739E3" w:rsidRPr="00E50B5E" w:rsidRDefault="006739E3" w:rsidP="00460015">
            <w:pPr>
              <w:jc w:val="right"/>
              <w:rPr>
                <w:rFonts w:ascii="Arial" w:eastAsia="Times New Roman" w:hAnsi="Arial" w:cs="Arial"/>
                <w:sz w:val="16"/>
                <w:szCs w:val="16"/>
              </w:rPr>
            </w:pPr>
            <w:r w:rsidRPr="00E50B5E">
              <w:rPr>
                <w:rFonts w:ascii="Arial" w:eastAsia="Times New Roman" w:hAnsi="Arial" w:cs="Arial"/>
                <w:sz w:val="16"/>
                <w:szCs w:val="16"/>
              </w:rPr>
              <w:t>11.55%</w:t>
            </w:r>
          </w:p>
        </w:tc>
        <w:tc>
          <w:tcPr>
            <w:tcW w:w="880" w:type="dxa"/>
            <w:tcBorders>
              <w:top w:val="nil"/>
              <w:left w:val="nil"/>
              <w:bottom w:val="single" w:sz="4" w:space="0" w:color="auto"/>
              <w:right w:val="single" w:sz="4" w:space="0" w:color="auto"/>
            </w:tcBorders>
            <w:shd w:val="clear" w:color="auto" w:fill="auto"/>
            <w:noWrap/>
            <w:vAlign w:val="bottom"/>
            <w:hideMark/>
          </w:tcPr>
          <w:p w14:paraId="06EE080C" w14:textId="77777777" w:rsidR="006739E3" w:rsidRPr="00E50B5E" w:rsidRDefault="006739E3" w:rsidP="00460015">
            <w:pPr>
              <w:jc w:val="right"/>
              <w:rPr>
                <w:rFonts w:ascii="Arial" w:eastAsia="Times New Roman" w:hAnsi="Arial" w:cs="Arial"/>
                <w:sz w:val="16"/>
                <w:szCs w:val="16"/>
              </w:rPr>
            </w:pPr>
            <w:r w:rsidRPr="00E50B5E">
              <w:rPr>
                <w:rFonts w:ascii="Arial" w:eastAsia="Times New Roman" w:hAnsi="Arial" w:cs="Arial"/>
                <w:sz w:val="16"/>
                <w:szCs w:val="16"/>
              </w:rPr>
              <w:t>5.27%</w:t>
            </w:r>
          </w:p>
        </w:tc>
        <w:tc>
          <w:tcPr>
            <w:tcW w:w="820" w:type="dxa"/>
            <w:tcBorders>
              <w:top w:val="nil"/>
              <w:left w:val="nil"/>
              <w:bottom w:val="single" w:sz="4" w:space="0" w:color="auto"/>
              <w:right w:val="single" w:sz="4" w:space="0" w:color="auto"/>
            </w:tcBorders>
            <w:shd w:val="clear" w:color="auto" w:fill="auto"/>
            <w:noWrap/>
            <w:vAlign w:val="bottom"/>
            <w:hideMark/>
          </w:tcPr>
          <w:p w14:paraId="74B7662F" w14:textId="77777777" w:rsidR="006739E3" w:rsidRPr="00E50B5E" w:rsidRDefault="006739E3" w:rsidP="00460015">
            <w:pPr>
              <w:jc w:val="right"/>
              <w:rPr>
                <w:rFonts w:ascii="Arial" w:eastAsia="Times New Roman" w:hAnsi="Arial" w:cs="Arial"/>
                <w:sz w:val="16"/>
                <w:szCs w:val="16"/>
              </w:rPr>
            </w:pPr>
            <w:r w:rsidRPr="00E50B5E">
              <w:rPr>
                <w:rFonts w:ascii="Arial" w:eastAsia="Times New Roman" w:hAnsi="Arial" w:cs="Arial"/>
                <w:sz w:val="16"/>
                <w:szCs w:val="16"/>
              </w:rPr>
              <w:t>0.95%</w:t>
            </w:r>
          </w:p>
        </w:tc>
        <w:tc>
          <w:tcPr>
            <w:tcW w:w="820" w:type="dxa"/>
            <w:tcBorders>
              <w:top w:val="nil"/>
              <w:left w:val="nil"/>
              <w:bottom w:val="single" w:sz="4" w:space="0" w:color="auto"/>
              <w:right w:val="single" w:sz="4" w:space="0" w:color="auto"/>
            </w:tcBorders>
            <w:shd w:val="clear" w:color="auto" w:fill="auto"/>
            <w:noWrap/>
            <w:vAlign w:val="bottom"/>
            <w:hideMark/>
          </w:tcPr>
          <w:p w14:paraId="3AD81143" w14:textId="77777777" w:rsidR="006739E3" w:rsidRPr="00E50B5E" w:rsidRDefault="006739E3" w:rsidP="00460015">
            <w:pPr>
              <w:jc w:val="right"/>
              <w:rPr>
                <w:rFonts w:ascii="Arial" w:eastAsia="Times New Roman" w:hAnsi="Arial" w:cs="Arial"/>
                <w:sz w:val="16"/>
                <w:szCs w:val="16"/>
              </w:rPr>
            </w:pPr>
            <w:r w:rsidRPr="00E50B5E">
              <w:rPr>
                <w:rFonts w:ascii="Arial" w:eastAsia="Times New Roman" w:hAnsi="Arial" w:cs="Arial"/>
                <w:sz w:val="16"/>
                <w:szCs w:val="16"/>
              </w:rPr>
              <w:t>1.04%</w:t>
            </w:r>
          </w:p>
        </w:tc>
      </w:tr>
      <w:tr w:rsidR="006739E3" w:rsidRPr="00E50B5E" w14:paraId="25310885" w14:textId="77777777" w:rsidTr="00460015">
        <w:trPr>
          <w:trHeight w:val="25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3BB48E52" w14:textId="77777777" w:rsidR="006739E3" w:rsidRPr="00E50B5E" w:rsidRDefault="006739E3" w:rsidP="00460015">
            <w:pPr>
              <w:rPr>
                <w:rFonts w:ascii="Arial" w:eastAsia="Times New Roman" w:hAnsi="Arial" w:cs="Arial"/>
                <w:sz w:val="16"/>
                <w:szCs w:val="16"/>
              </w:rPr>
            </w:pPr>
            <w:r w:rsidRPr="00E50B5E">
              <w:rPr>
                <w:rFonts w:ascii="Arial" w:eastAsia="Times New Roman" w:hAnsi="Arial" w:cs="Arial"/>
                <w:sz w:val="16"/>
                <w:szCs w:val="16"/>
              </w:rPr>
              <w:t xml:space="preserve">15 </w:t>
            </w:r>
            <w:proofErr w:type="spellStart"/>
            <w:r w:rsidRPr="00E50B5E">
              <w:rPr>
                <w:rFonts w:ascii="Arial" w:eastAsia="Times New Roman" w:hAnsi="Arial" w:cs="Arial"/>
                <w:sz w:val="16"/>
                <w:szCs w:val="16"/>
              </w:rPr>
              <w:t>Yr</w:t>
            </w:r>
            <w:proofErr w:type="spellEnd"/>
            <w:r w:rsidRPr="00E50B5E">
              <w:rPr>
                <w:rFonts w:ascii="Arial" w:eastAsia="Times New Roman" w:hAnsi="Arial" w:cs="Arial"/>
                <w:sz w:val="16"/>
                <w:szCs w:val="16"/>
              </w:rPr>
              <w:t xml:space="preserve"> Average</w:t>
            </w:r>
          </w:p>
        </w:tc>
        <w:tc>
          <w:tcPr>
            <w:tcW w:w="820" w:type="dxa"/>
            <w:tcBorders>
              <w:top w:val="nil"/>
              <w:left w:val="nil"/>
              <w:bottom w:val="single" w:sz="4" w:space="0" w:color="auto"/>
              <w:right w:val="single" w:sz="4" w:space="0" w:color="auto"/>
            </w:tcBorders>
            <w:shd w:val="clear" w:color="auto" w:fill="auto"/>
            <w:noWrap/>
            <w:vAlign w:val="bottom"/>
            <w:hideMark/>
          </w:tcPr>
          <w:p w14:paraId="18C4AC4B" w14:textId="77777777" w:rsidR="006739E3" w:rsidRPr="00E50B5E" w:rsidRDefault="006739E3" w:rsidP="00460015">
            <w:pPr>
              <w:jc w:val="right"/>
              <w:rPr>
                <w:rFonts w:ascii="Arial" w:eastAsia="Times New Roman" w:hAnsi="Arial" w:cs="Arial"/>
                <w:sz w:val="16"/>
                <w:szCs w:val="16"/>
              </w:rPr>
            </w:pPr>
            <w:r w:rsidRPr="00E50B5E">
              <w:rPr>
                <w:rFonts w:ascii="Arial" w:eastAsia="Times New Roman" w:hAnsi="Arial" w:cs="Arial"/>
                <w:sz w:val="16"/>
                <w:szCs w:val="16"/>
              </w:rPr>
              <w:t>4.11%</w:t>
            </w:r>
          </w:p>
        </w:tc>
        <w:tc>
          <w:tcPr>
            <w:tcW w:w="1080" w:type="dxa"/>
            <w:tcBorders>
              <w:top w:val="nil"/>
              <w:left w:val="nil"/>
              <w:bottom w:val="single" w:sz="4" w:space="0" w:color="auto"/>
              <w:right w:val="single" w:sz="4" w:space="0" w:color="auto"/>
            </w:tcBorders>
            <w:shd w:val="clear" w:color="auto" w:fill="auto"/>
            <w:noWrap/>
            <w:vAlign w:val="bottom"/>
            <w:hideMark/>
          </w:tcPr>
          <w:p w14:paraId="4C127E2E" w14:textId="77777777" w:rsidR="006739E3" w:rsidRPr="00E50B5E" w:rsidRDefault="006739E3" w:rsidP="00460015">
            <w:pPr>
              <w:jc w:val="right"/>
              <w:rPr>
                <w:rFonts w:ascii="Arial" w:eastAsia="Times New Roman" w:hAnsi="Arial" w:cs="Arial"/>
                <w:sz w:val="16"/>
                <w:szCs w:val="16"/>
              </w:rPr>
            </w:pPr>
            <w:r w:rsidRPr="00E50B5E">
              <w:rPr>
                <w:rFonts w:ascii="Arial" w:eastAsia="Times New Roman" w:hAnsi="Arial" w:cs="Arial"/>
                <w:sz w:val="16"/>
                <w:szCs w:val="16"/>
              </w:rPr>
              <w:t>2.30%</w:t>
            </w:r>
          </w:p>
        </w:tc>
        <w:tc>
          <w:tcPr>
            <w:tcW w:w="940" w:type="dxa"/>
            <w:tcBorders>
              <w:top w:val="nil"/>
              <w:left w:val="nil"/>
              <w:bottom w:val="single" w:sz="4" w:space="0" w:color="auto"/>
              <w:right w:val="single" w:sz="4" w:space="0" w:color="auto"/>
            </w:tcBorders>
            <w:shd w:val="clear" w:color="auto" w:fill="auto"/>
            <w:noWrap/>
            <w:vAlign w:val="bottom"/>
            <w:hideMark/>
          </w:tcPr>
          <w:p w14:paraId="7C7F88BE" w14:textId="77777777" w:rsidR="006739E3" w:rsidRPr="00E50B5E" w:rsidRDefault="006739E3" w:rsidP="00460015">
            <w:pPr>
              <w:jc w:val="right"/>
              <w:rPr>
                <w:rFonts w:ascii="Arial" w:eastAsia="Times New Roman" w:hAnsi="Arial" w:cs="Arial"/>
                <w:sz w:val="16"/>
                <w:szCs w:val="16"/>
              </w:rPr>
            </w:pPr>
            <w:r w:rsidRPr="00E50B5E">
              <w:rPr>
                <w:rFonts w:ascii="Arial" w:eastAsia="Times New Roman" w:hAnsi="Arial" w:cs="Arial"/>
                <w:sz w:val="16"/>
                <w:szCs w:val="16"/>
              </w:rPr>
              <w:t>11.27%</w:t>
            </w:r>
          </w:p>
        </w:tc>
        <w:tc>
          <w:tcPr>
            <w:tcW w:w="820" w:type="dxa"/>
            <w:tcBorders>
              <w:top w:val="nil"/>
              <w:left w:val="nil"/>
              <w:bottom w:val="single" w:sz="4" w:space="0" w:color="auto"/>
              <w:right w:val="single" w:sz="4" w:space="0" w:color="auto"/>
            </w:tcBorders>
            <w:shd w:val="clear" w:color="auto" w:fill="auto"/>
            <w:noWrap/>
            <w:vAlign w:val="bottom"/>
            <w:hideMark/>
          </w:tcPr>
          <w:p w14:paraId="43ADDFA7" w14:textId="77777777" w:rsidR="006739E3" w:rsidRPr="00E50B5E" w:rsidRDefault="006739E3" w:rsidP="00460015">
            <w:pPr>
              <w:jc w:val="right"/>
              <w:rPr>
                <w:rFonts w:ascii="Arial" w:eastAsia="Times New Roman" w:hAnsi="Arial" w:cs="Arial"/>
                <w:sz w:val="16"/>
                <w:szCs w:val="16"/>
              </w:rPr>
            </w:pPr>
            <w:r w:rsidRPr="00E50B5E">
              <w:rPr>
                <w:rFonts w:ascii="Arial" w:eastAsia="Times New Roman" w:hAnsi="Arial" w:cs="Arial"/>
                <w:sz w:val="16"/>
                <w:szCs w:val="16"/>
              </w:rPr>
              <w:t>11.65%</w:t>
            </w:r>
          </w:p>
        </w:tc>
        <w:tc>
          <w:tcPr>
            <w:tcW w:w="820" w:type="dxa"/>
            <w:tcBorders>
              <w:top w:val="nil"/>
              <w:left w:val="nil"/>
              <w:bottom w:val="single" w:sz="4" w:space="0" w:color="auto"/>
              <w:right w:val="single" w:sz="4" w:space="0" w:color="auto"/>
            </w:tcBorders>
            <w:shd w:val="clear" w:color="auto" w:fill="auto"/>
            <w:noWrap/>
            <w:vAlign w:val="bottom"/>
            <w:hideMark/>
          </w:tcPr>
          <w:p w14:paraId="0069E29D" w14:textId="77777777" w:rsidR="006739E3" w:rsidRPr="00E50B5E" w:rsidRDefault="006739E3" w:rsidP="00460015">
            <w:pPr>
              <w:jc w:val="right"/>
              <w:rPr>
                <w:rFonts w:ascii="Arial" w:eastAsia="Times New Roman" w:hAnsi="Arial" w:cs="Arial"/>
                <w:sz w:val="16"/>
                <w:szCs w:val="16"/>
              </w:rPr>
            </w:pPr>
            <w:r w:rsidRPr="00E50B5E">
              <w:rPr>
                <w:rFonts w:ascii="Arial" w:eastAsia="Times New Roman" w:hAnsi="Arial" w:cs="Arial"/>
                <w:sz w:val="16"/>
                <w:szCs w:val="16"/>
              </w:rPr>
              <w:t>11.87%</w:t>
            </w:r>
          </w:p>
        </w:tc>
        <w:tc>
          <w:tcPr>
            <w:tcW w:w="880" w:type="dxa"/>
            <w:tcBorders>
              <w:top w:val="nil"/>
              <w:left w:val="nil"/>
              <w:bottom w:val="single" w:sz="4" w:space="0" w:color="auto"/>
              <w:right w:val="single" w:sz="4" w:space="0" w:color="auto"/>
            </w:tcBorders>
            <w:shd w:val="clear" w:color="auto" w:fill="auto"/>
            <w:noWrap/>
            <w:vAlign w:val="bottom"/>
            <w:hideMark/>
          </w:tcPr>
          <w:p w14:paraId="79274572" w14:textId="77777777" w:rsidR="006739E3" w:rsidRPr="00E50B5E" w:rsidRDefault="006739E3" w:rsidP="00460015">
            <w:pPr>
              <w:jc w:val="right"/>
              <w:rPr>
                <w:rFonts w:ascii="Arial" w:eastAsia="Times New Roman" w:hAnsi="Arial" w:cs="Arial"/>
                <w:sz w:val="16"/>
                <w:szCs w:val="16"/>
              </w:rPr>
            </w:pPr>
            <w:r w:rsidRPr="00E50B5E">
              <w:rPr>
                <w:rFonts w:ascii="Arial" w:eastAsia="Times New Roman" w:hAnsi="Arial" w:cs="Arial"/>
                <w:sz w:val="16"/>
                <w:szCs w:val="16"/>
              </w:rPr>
              <w:t>5.75%</w:t>
            </w:r>
          </w:p>
        </w:tc>
        <w:tc>
          <w:tcPr>
            <w:tcW w:w="820" w:type="dxa"/>
            <w:tcBorders>
              <w:top w:val="nil"/>
              <w:left w:val="nil"/>
              <w:bottom w:val="single" w:sz="4" w:space="0" w:color="auto"/>
              <w:right w:val="single" w:sz="4" w:space="0" w:color="auto"/>
            </w:tcBorders>
            <w:shd w:val="clear" w:color="auto" w:fill="auto"/>
            <w:noWrap/>
            <w:vAlign w:val="bottom"/>
            <w:hideMark/>
          </w:tcPr>
          <w:p w14:paraId="72A03141" w14:textId="77777777" w:rsidR="006739E3" w:rsidRPr="00E50B5E" w:rsidRDefault="006739E3" w:rsidP="00460015">
            <w:pPr>
              <w:jc w:val="right"/>
              <w:rPr>
                <w:rFonts w:ascii="Arial" w:eastAsia="Times New Roman" w:hAnsi="Arial" w:cs="Arial"/>
                <w:sz w:val="16"/>
                <w:szCs w:val="16"/>
              </w:rPr>
            </w:pPr>
            <w:r w:rsidRPr="00E50B5E">
              <w:rPr>
                <w:rFonts w:ascii="Arial" w:eastAsia="Times New Roman" w:hAnsi="Arial" w:cs="Arial"/>
                <w:sz w:val="16"/>
                <w:szCs w:val="16"/>
              </w:rPr>
              <w:t>0.71%</w:t>
            </w:r>
          </w:p>
        </w:tc>
        <w:tc>
          <w:tcPr>
            <w:tcW w:w="820" w:type="dxa"/>
            <w:tcBorders>
              <w:top w:val="nil"/>
              <w:left w:val="nil"/>
              <w:bottom w:val="single" w:sz="4" w:space="0" w:color="auto"/>
              <w:right w:val="single" w:sz="4" w:space="0" w:color="auto"/>
            </w:tcBorders>
            <w:shd w:val="clear" w:color="auto" w:fill="auto"/>
            <w:noWrap/>
            <w:vAlign w:val="bottom"/>
            <w:hideMark/>
          </w:tcPr>
          <w:p w14:paraId="068E892C" w14:textId="77777777" w:rsidR="006739E3" w:rsidRPr="00E50B5E" w:rsidRDefault="006739E3" w:rsidP="00460015">
            <w:pPr>
              <w:jc w:val="right"/>
              <w:rPr>
                <w:rFonts w:ascii="Arial" w:eastAsia="Times New Roman" w:hAnsi="Arial" w:cs="Arial"/>
                <w:sz w:val="16"/>
                <w:szCs w:val="16"/>
              </w:rPr>
            </w:pPr>
            <w:r w:rsidRPr="00E50B5E">
              <w:rPr>
                <w:rFonts w:ascii="Arial" w:eastAsia="Times New Roman" w:hAnsi="Arial" w:cs="Arial"/>
                <w:sz w:val="16"/>
                <w:szCs w:val="16"/>
              </w:rPr>
              <w:t>1.41%</w:t>
            </w:r>
          </w:p>
        </w:tc>
      </w:tr>
      <w:tr w:rsidR="006739E3" w:rsidRPr="00E50B5E" w14:paraId="187C82CA" w14:textId="77777777" w:rsidTr="00460015">
        <w:trPr>
          <w:trHeight w:val="25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65209E3F" w14:textId="77777777" w:rsidR="006739E3" w:rsidRPr="00E50B5E" w:rsidRDefault="006739E3" w:rsidP="00460015">
            <w:pPr>
              <w:rPr>
                <w:rFonts w:ascii="Arial" w:eastAsia="Times New Roman" w:hAnsi="Arial" w:cs="Arial"/>
                <w:sz w:val="16"/>
                <w:szCs w:val="16"/>
              </w:rPr>
            </w:pPr>
            <w:r w:rsidRPr="00E50B5E">
              <w:rPr>
                <w:rFonts w:ascii="Arial" w:eastAsia="Times New Roman" w:hAnsi="Arial" w:cs="Arial"/>
                <w:sz w:val="16"/>
                <w:szCs w:val="16"/>
              </w:rPr>
              <w:t>Max</w:t>
            </w:r>
          </w:p>
        </w:tc>
        <w:tc>
          <w:tcPr>
            <w:tcW w:w="820" w:type="dxa"/>
            <w:tcBorders>
              <w:top w:val="nil"/>
              <w:left w:val="nil"/>
              <w:bottom w:val="single" w:sz="4" w:space="0" w:color="auto"/>
              <w:right w:val="single" w:sz="4" w:space="0" w:color="auto"/>
            </w:tcBorders>
            <w:shd w:val="clear" w:color="auto" w:fill="auto"/>
            <w:noWrap/>
            <w:vAlign w:val="bottom"/>
            <w:hideMark/>
          </w:tcPr>
          <w:p w14:paraId="2F63BF1D" w14:textId="77777777" w:rsidR="006739E3" w:rsidRPr="00E50B5E" w:rsidRDefault="006739E3" w:rsidP="00460015">
            <w:pPr>
              <w:jc w:val="right"/>
              <w:rPr>
                <w:rFonts w:ascii="Arial" w:eastAsia="Times New Roman" w:hAnsi="Arial" w:cs="Arial"/>
                <w:sz w:val="16"/>
                <w:szCs w:val="16"/>
              </w:rPr>
            </w:pPr>
            <w:r w:rsidRPr="00E50B5E">
              <w:rPr>
                <w:rFonts w:ascii="Arial" w:eastAsia="Times New Roman" w:hAnsi="Arial" w:cs="Arial"/>
                <w:sz w:val="16"/>
                <w:szCs w:val="16"/>
              </w:rPr>
              <w:t>21.89%</w:t>
            </w:r>
          </w:p>
        </w:tc>
        <w:tc>
          <w:tcPr>
            <w:tcW w:w="1080" w:type="dxa"/>
            <w:tcBorders>
              <w:top w:val="nil"/>
              <w:left w:val="nil"/>
              <w:bottom w:val="single" w:sz="4" w:space="0" w:color="auto"/>
              <w:right w:val="single" w:sz="4" w:space="0" w:color="auto"/>
            </w:tcBorders>
            <w:shd w:val="clear" w:color="auto" w:fill="auto"/>
            <w:noWrap/>
            <w:vAlign w:val="bottom"/>
            <w:hideMark/>
          </w:tcPr>
          <w:p w14:paraId="20A7886A" w14:textId="77777777" w:rsidR="006739E3" w:rsidRPr="00E50B5E" w:rsidRDefault="006739E3" w:rsidP="00460015">
            <w:pPr>
              <w:jc w:val="right"/>
              <w:rPr>
                <w:rFonts w:ascii="Arial" w:eastAsia="Times New Roman" w:hAnsi="Arial" w:cs="Arial"/>
                <w:sz w:val="16"/>
                <w:szCs w:val="16"/>
              </w:rPr>
            </w:pPr>
            <w:r w:rsidRPr="00E50B5E">
              <w:rPr>
                <w:rFonts w:ascii="Arial" w:eastAsia="Times New Roman" w:hAnsi="Arial" w:cs="Arial"/>
                <w:sz w:val="16"/>
                <w:szCs w:val="16"/>
              </w:rPr>
              <w:t>9.65%</w:t>
            </w:r>
          </w:p>
        </w:tc>
        <w:tc>
          <w:tcPr>
            <w:tcW w:w="940" w:type="dxa"/>
            <w:tcBorders>
              <w:top w:val="nil"/>
              <w:left w:val="nil"/>
              <w:bottom w:val="single" w:sz="4" w:space="0" w:color="auto"/>
              <w:right w:val="single" w:sz="4" w:space="0" w:color="auto"/>
            </w:tcBorders>
            <w:shd w:val="clear" w:color="auto" w:fill="auto"/>
            <w:noWrap/>
            <w:vAlign w:val="bottom"/>
            <w:hideMark/>
          </w:tcPr>
          <w:p w14:paraId="56290BEB" w14:textId="77777777" w:rsidR="006739E3" w:rsidRPr="00E50B5E" w:rsidRDefault="006739E3" w:rsidP="00460015">
            <w:pPr>
              <w:jc w:val="right"/>
              <w:rPr>
                <w:rFonts w:ascii="Arial" w:eastAsia="Times New Roman" w:hAnsi="Arial" w:cs="Arial"/>
                <w:sz w:val="16"/>
                <w:szCs w:val="16"/>
              </w:rPr>
            </w:pPr>
            <w:r w:rsidRPr="00E50B5E">
              <w:rPr>
                <w:rFonts w:ascii="Arial" w:eastAsia="Times New Roman" w:hAnsi="Arial" w:cs="Arial"/>
                <w:sz w:val="16"/>
                <w:szCs w:val="16"/>
              </w:rPr>
              <w:t>41.10%</w:t>
            </w:r>
          </w:p>
        </w:tc>
        <w:tc>
          <w:tcPr>
            <w:tcW w:w="820" w:type="dxa"/>
            <w:tcBorders>
              <w:top w:val="nil"/>
              <w:left w:val="nil"/>
              <w:bottom w:val="single" w:sz="4" w:space="0" w:color="auto"/>
              <w:right w:val="single" w:sz="4" w:space="0" w:color="auto"/>
            </w:tcBorders>
            <w:shd w:val="clear" w:color="auto" w:fill="auto"/>
            <w:noWrap/>
            <w:vAlign w:val="bottom"/>
            <w:hideMark/>
          </w:tcPr>
          <w:p w14:paraId="7FBB2629" w14:textId="77777777" w:rsidR="006739E3" w:rsidRPr="00E50B5E" w:rsidRDefault="006739E3" w:rsidP="00460015">
            <w:pPr>
              <w:jc w:val="right"/>
              <w:rPr>
                <w:rFonts w:ascii="Arial" w:eastAsia="Times New Roman" w:hAnsi="Arial" w:cs="Arial"/>
                <w:sz w:val="16"/>
                <w:szCs w:val="16"/>
              </w:rPr>
            </w:pPr>
            <w:r w:rsidRPr="00E50B5E">
              <w:rPr>
                <w:rFonts w:ascii="Arial" w:eastAsia="Times New Roman" w:hAnsi="Arial" w:cs="Arial"/>
                <w:sz w:val="16"/>
                <w:szCs w:val="16"/>
              </w:rPr>
              <w:t>40.79%</w:t>
            </w:r>
          </w:p>
        </w:tc>
        <w:tc>
          <w:tcPr>
            <w:tcW w:w="820" w:type="dxa"/>
            <w:tcBorders>
              <w:top w:val="nil"/>
              <w:left w:val="nil"/>
              <w:bottom w:val="single" w:sz="4" w:space="0" w:color="auto"/>
              <w:right w:val="single" w:sz="4" w:space="0" w:color="auto"/>
            </w:tcBorders>
            <w:shd w:val="clear" w:color="auto" w:fill="auto"/>
            <w:noWrap/>
            <w:vAlign w:val="bottom"/>
            <w:hideMark/>
          </w:tcPr>
          <w:p w14:paraId="49B3F365" w14:textId="77777777" w:rsidR="006739E3" w:rsidRPr="00E50B5E" w:rsidRDefault="006739E3" w:rsidP="00460015">
            <w:pPr>
              <w:jc w:val="right"/>
              <w:rPr>
                <w:rFonts w:ascii="Arial" w:eastAsia="Times New Roman" w:hAnsi="Arial" w:cs="Arial"/>
                <w:sz w:val="16"/>
                <w:szCs w:val="16"/>
              </w:rPr>
            </w:pPr>
            <w:r w:rsidRPr="00E50B5E">
              <w:rPr>
                <w:rFonts w:ascii="Arial" w:eastAsia="Times New Roman" w:hAnsi="Arial" w:cs="Arial"/>
                <w:sz w:val="16"/>
                <w:szCs w:val="16"/>
              </w:rPr>
              <w:t>20.74%</w:t>
            </w:r>
          </w:p>
        </w:tc>
        <w:tc>
          <w:tcPr>
            <w:tcW w:w="880" w:type="dxa"/>
            <w:tcBorders>
              <w:top w:val="nil"/>
              <w:left w:val="nil"/>
              <w:bottom w:val="single" w:sz="4" w:space="0" w:color="auto"/>
              <w:right w:val="single" w:sz="4" w:space="0" w:color="auto"/>
            </w:tcBorders>
            <w:shd w:val="clear" w:color="auto" w:fill="auto"/>
            <w:noWrap/>
            <w:vAlign w:val="bottom"/>
            <w:hideMark/>
          </w:tcPr>
          <w:p w14:paraId="178D5750" w14:textId="77777777" w:rsidR="006739E3" w:rsidRPr="00E50B5E" w:rsidRDefault="006739E3" w:rsidP="00460015">
            <w:pPr>
              <w:jc w:val="right"/>
              <w:rPr>
                <w:rFonts w:ascii="Arial" w:eastAsia="Times New Roman" w:hAnsi="Arial" w:cs="Arial"/>
                <w:sz w:val="16"/>
                <w:szCs w:val="16"/>
              </w:rPr>
            </w:pPr>
            <w:r w:rsidRPr="00E50B5E">
              <w:rPr>
                <w:rFonts w:ascii="Arial" w:eastAsia="Times New Roman" w:hAnsi="Arial" w:cs="Arial"/>
                <w:sz w:val="16"/>
                <w:szCs w:val="16"/>
              </w:rPr>
              <w:t>16.66%</w:t>
            </w:r>
          </w:p>
        </w:tc>
        <w:tc>
          <w:tcPr>
            <w:tcW w:w="820" w:type="dxa"/>
            <w:tcBorders>
              <w:top w:val="nil"/>
              <w:left w:val="nil"/>
              <w:bottom w:val="single" w:sz="4" w:space="0" w:color="auto"/>
              <w:right w:val="single" w:sz="4" w:space="0" w:color="auto"/>
            </w:tcBorders>
            <w:shd w:val="clear" w:color="auto" w:fill="auto"/>
            <w:noWrap/>
            <w:vAlign w:val="bottom"/>
            <w:hideMark/>
          </w:tcPr>
          <w:p w14:paraId="245B67F0" w14:textId="77777777" w:rsidR="006739E3" w:rsidRPr="00E50B5E" w:rsidRDefault="006739E3" w:rsidP="00460015">
            <w:pPr>
              <w:jc w:val="right"/>
              <w:rPr>
                <w:rFonts w:ascii="Arial" w:eastAsia="Times New Roman" w:hAnsi="Arial" w:cs="Arial"/>
                <w:sz w:val="16"/>
                <w:szCs w:val="16"/>
              </w:rPr>
            </w:pPr>
            <w:r w:rsidRPr="00E50B5E">
              <w:rPr>
                <w:rFonts w:ascii="Arial" w:eastAsia="Times New Roman" w:hAnsi="Arial" w:cs="Arial"/>
                <w:sz w:val="16"/>
                <w:szCs w:val="16"/>
              </w:rPr>
              <w:t>5.00%</w:t>
            </w:r>
          </w:p>
        </w:tc>
        <w:tc>
          <w:tcPr>
            <w:tcW w:w="820" w:type="dxa"/>
            <w:tcBorders>
              <w:top w:val="nil"/>
              <w:left w:val="nil"/>
              <w:bottom w:val="single" w:sz="4" w:space="0" w:color="auto"/>
              <w:right w:val="single" w:sz="4" w:space="0" w:color="auto"/>
            </w:tcBorders>
            <w:shd w:val="clear" w:color="auto" w:fill="auto"/>
            <w:noWrap/>
            <w:vAlign w:val="bottom"/>
            <w:hideMark/>
          </w:tcPr>
          <w:p w14:paraId="61AF2DCA" w14:textId="77777777" w:rsidR="006739E3" w:rsidRPr="00E50B5E" w:rsidRDefault="006739E3" w:rsidP="00460015">
            <w:pPr>
              <w:jc w:val="right"/>
              <w:rPr>
                <w:rFonts w:ascii="Arial" w:eastAsia="Times New Roman" w:hAnsi="Arial" w:cs="Arial"/>
                <w:sz w:val="16"/>
                <w:szCs w:val="16"/>
              </w:rPr>
            </w:pPr>
            <w:r w:rsidRPr="00E50B5E">
              <w:rPr>
                <w:rFonts w:ascii="Arial" w:eastAsia="Times New Roman" w:hAnsi="Arial" w:cs="Arial"/>
                <w:sz w:val="16"/>
                <w:szCs w:val="16"/>
              </w:rPr>
              <w:t>7.66%</w:t>
            </w:r>
          </w:p>
        </w:tc>
      </w:tr>
      <w:tr w:rsidR="006739E3" w:rsidRPr="00E50B5E" w14:paraId="48AF9ED3" w14:textId="77777777" w:rsidTr="00460015">
        <w:trPr>
          <w:trHeight w:val="25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7BB24224" w14:textId="77777777" w:rsidR="006739E3" w:rsidRPr="00E50B5E" w:rsidRDefault="006739E3" w:rsidP="00460015">
            <w:pPr>
              <w:rPr>
                <w:rFonts w:ascii="Arial" w:eastAsia="Times New Roman" w:hAnsi="Arial" w:cs="Arial"/>
                <w:sz w:val="16"/>
                <w:szCs w:val="16"/>
              </w:rPr>
            </w:pPr>
            <w:r w:rsidRPr="00E50B5E">
              <w:rPr>
                <w:rFonts w:ascii="Arial" w:eastAsia="Times New Roman" w:hAnsi="Arial" w:cs="Arial"/>
                <w:sz w:val="16"/>
                <w:szCs w:val="16"/>
              </w:rPr>
              <w:t>Min</w:t>
            </w:r>
          </w:p>
        </w:tc>
        <w:tc>
          <w:tcPr>
            <w:tcW w:w="820" w:type="dxa"/>
            <w:tcBorders>
              <w:top w:val="nil"/>
              <w:left w:val="nil"/>
              <w:bottom w:val="single" w:sz="4" w:space="0" w:color="auto"/>
              <w:right w:val="single" w:sz="4" w:space="0" w:color="auto"/>
            </w:tcBorders>
            <w:shd w:val="clear" w:color="auto" w:fill="auto"/>
            <w:noWrap/>
            <w:vAlign w:val="bottom"/>
            <w:hideMark/>
          </w:tcPr>
          <w:p w14:paraId="00A05937" w14:textId="77777777" w:rsidR="006739E3" w:rsidRPr="00E50B5E" w:rsidRDefault="006739E3" w:rsidP="00460015">
            <w:pPr>
              <w:jc w:val="right"/>
              <w:rPr>
                <w:rFonts w:ascii="Arial" w:eastAsia="Times New Roman" w:hAnsi="Arial" w:cs="Arial"/>
                <w:sz w:val="16"/>
                <w:szCs w:val="16"/>
              </w:rPr>
            </w:pPr>
            <w:r w:rsidRPr="00E50B5E">
              <w:rPr>
                <w:rFonts w:ascii="Arial" w:eastAsia="Times New Roman" w:hAnsi="Arial" w:cs="Arial"/>
                <w:sz w:val="16"/>
                <w:szCs w:val="16"/>
              </w:rPr>
              <w:t>-6.99%</w:t>
            </w:r>
          </w:p>
        </w:tc>
        <w:tc>
          <w:tcPr>
            <w:tcW w:w="1080" w:type="dxa"/>
            <w:tcBorders>
              <w:top w:val="nil"/>
              <w:left w:val="nil"/>
              <w:bottom w:val="single" w:sz="4" w:space="0" w:color="auto"/>
              <w:right w:val="single" w:sz="4" w:space="0" w:color="auto"/>
            </w:tcBorders>
            <w:shd w:val="clear" w:color="auto" w:fill="auto"/>
            <w:noWrap/>
            <w:vAlign w:val="bottom"/>
            <w:hideMark/>
          </w:tcPr>
          <w:p w14:paraId="228B4975" w14:textId="77777777" w:rsidR="006739E3" w:rsidRPr="00E50B5E" w:rsidRDefault="006739E3" w:rsidP="00460015">
            <w:pPr>
              <w:jc w:val="right"/>
              <w:rPr>
                <w:rFonts w:ascii="Arial" w:eastAsia="Times New Roman" w:hAnsi="Arial" w:cs="Arial"/>
                <w:sz w:val="16"/>
                <w:szCs w:val="16"/>
              </w:rPr>
            </w:pPr>
            <w:r w:rsidRPr="00E50B5E">
              <w:rPr>
                <w:rFonts w:ascii="Arial" w:eastAsia="Times New Roman" w:hAnsi="Arial" w:cs="Arial"/>
                <w:sz w:val="16"/>
                <w:szCs w:val="16"/>
              </w:rPr>
              <w:t>-7.28%</w:t>
            </w:r>
          </w:p>
        </w:tc>
        <w:tc>
          <w:tcPr>
            <w:tcW w:w="940" w:type="dxa"/>
            <w:tcBorders>
              <w:top w:val="nil"/>
              <w:left w:val="nil"/>
              <w:bottom w:val="single" w:sz="4" w:space="0" w:color="auto"/>
              <w:right w:val="single" w:sz="4" w:space="0" w:color="auto"/>
            </w:tcBorders>
            <w:shd w:val="clear" w:color="auto" w:fill="auto"/>
            <w:noWrap/>
            <w:vAlign w:val="bottom"/>
            <w:hideMark/>
          </w:tcPr>
          <w:p w14:paraId="548DC301" w14:textId="77777777" w:rsidR="006739E3" w:rsidRPr="00E50B5E" w:rsidRDefault="006739E3" w:rsidP="00460015">
            <w:pPr>
              <w:jc w:val="right"/>
              <w:rPr>
                <w:rFonts w:ascii="Arial" w:eastAsia="Times New Roman" w:hAnsi="Arial" w:cs="Arial"/>
                <w:sz w:val="16"/>
                <w:szCs w:val="16"/>
              </w:rPr>
            </w:pPr>
            <w:r w:rsidRPr="00E50B5E">
              <w:rPr>
                <w:rFonts w:ascii="Arial" w:eastAsia="Times New Roman" w:hAnsi="Arial" w:cs="Arial"/>
                <w:sz w:val="16"/>
                <w:szCs w:val="16"/>
              </w:rPr>
              <w:t>-25.05%</w:t>
            </w:r>
          </w:p>
        </w:tc>
        <w:tc>
          <w:tcPr>
            <w:tcW w:w="820" w:type="dxa"/>
            <w:tcBorders>
              <w:top w:val="nil"/>
              <w:left w:val="nil"/>
              <w:bottom w:val="single" w:sz="4" w:space="0" w:color="auto"/>
              <w:right w:val="single" w:sz="4" w:space="0" w:color="auto"/>
            </w:tcBorders>
            <w:shd w:val="clear" w:color="auto" w:fill="auto"/>
            <w:noWrap/>
            <w:vAlign w:val="bottom"/>
            <w:hideMark/>
          </w:tcPr>
          <w:p w14:paraId="5D7ED6DD" w14:textId="77777777" w:rsidR="006739E3" w:rsidRPr="00E50B5E" w:rsidRDefault="006739E3" w:rsidP="00460015">
            <w:pPr>
              <w:jc w:val="right"/>
              <w:rPr>
                <w:rFonts w:ascii="Arial" w:eastAsia="Times New Roman" w:hAnsi="Arial" w:cs="Arial"/>
                <w:sz w:val="16"/>
                <w:szCs w:val="16"/>
              </w:rPr>
            </w:pPr>
            <w:r w:rsidRPr="00E50B5E">
              <w:rPr>
                <w:rFonts w:ascii="Arial" w:eastAsia="Times New Roman" w:hAnsi="Arial" w:cs="Arial"/>
                <w:sz w:val="16"/>
                <w:szCs w:val="16"/>
              </w:rPr>
              <w:t>-26.21%</w:t>
            </w:r>
          </w:p>
        </w:tc>
        <w:tc>
          <w:tcPr>
            <w:tcW w:w="820" w:type="dxa"/>
            <w:tcBorders>
              <w:top w:val="nil"/>
              <w:left w:val="nil"/>
              <w:bottom w:val="single" w:sz="4" w:space="0" w:color="auto"/>
              <w:right w:val="single" w:sz="4" w:space="0" w:color="auto"/>
            </w:tcBorders>
            <w:shd w:val="clear" w:color="auto" w:fill="auto"/>
            <w:noWrap/>
            <w:vAlign w:val="bottom"/>
            <w:hideMark/>
          </w:tcPr>
          <w:p w14:paraId="6605C82E" w14:textId="77777777" w:rsidR="006739E3" w:rsidRPr="00E50B5E" w:rsidRDefault="006739E3" w:rsidP="00460015">
            <w:pPr>
              <w:jc w:val="right"/>
              <w:rPr>
                <w:rFonts w:ascii="Arial" w:eastAsia="Times New Roman" w:hAnsi="Arial" w:cs="Arial"/>
                <w:sz w:val="16"/>
                <w:szCs w:val="16"/>
              </w:rPr>
            </w:pPr>
            <w:r w:rsidRPr="00E50B5E">
              <w:rPr>
                <w:rFonts w:ascii="Arial" w:eastAsia="Times New Roman" w:hAnsi="Arial" w:cs="Arial"/>
                <w:sz w:val="16"/>
                <w:szCs w:val="16"/>
              </w:rPr>
              <w:t>-0.74%</w:t>
            </w:r>
          </w:p>
        </w:tc>
        <w:tc>
          <w:tcPr>
            <w:tcW w:w="880" w:type="dxa"/>
            <w:tcBorders>
              <w:top w:val="nil"/>
              <w:left w:val="nil"/>
              <w:bottom w:val="single" w:sz="4" w:space="0" w:color="auto"/>
              <w:right w:val="single" w:sz="4" w:space="0" w:color="auto"/>
            </w:tcBorders>
            <w:shd w:val="clear" w:color="auto" w:fill="auto"/>
            <w:noWrap/>
            <w:vAlign w:val="bottom"/>
            <w:hideMark/>
          </w:tcPr>
          <w:p w14:paraId="06DD7C22" w14:textId="77777777" w:rsidR="006739E3" w:rsidRPr="00E50B5E" w:rsidRDefault="006739E3" w:rsidP="00460015">
            <w:pPr>
              <w:jc w:val="right"/>
              <w:rPr>
                <w:rFonts w:ascii="Arial" w:eastAsia="Times New Roman" w:hAnsi="Arial" w:cs="Arial"/>
                <w:sz w:val="16"/>
                <w:szCs w:val="16"/>
              </w:rPr>
            </w:pPr>
            <w:r w:rsidRPr="00E50B5E">
              <w:rPr>
                <w:rFonts w:ascii="Arial" w:eastAsia="Times New Roman" w:hAnsi="Arial" w:cs="Arial"/>
                <w:sz w:val="16"/>
                <w:szCs w:val="16"/>
              </w:rPr>
              <w:t>-7.62%</w:t>
            </w:r>
          </w:p>
        </w:tc>
        <w:tc>
          <w:tcPr>
            <w:tcW w:w="820" w:type="dxa"/>
            <w:tcBorders>
              <w:top w:val="nil"/>
              <w:left w:val="nil"/>
              <w:bottom w:val="single" w:sz="4" w:space="0" w:color="auto"/>
              <w:right w:val="single" w:sz="4" w:space="0" w:color="auto"/>
            </w:tcBorders>
            <w:shd w:val="clear" w:color="auto" w:fill="auto"/>
            <w:noWrap/>
            <w:vAlign w:val="bottom"/>
            <w:hideMark/>
          </w:tcPr>
          <w:p w14:paraId="79EFDBA5" w14:textId="77777777" w:rsidR="006739E3" w:rsidRPr="00E50B5E" w:rsidRDefault="006739E3" w:rsidP="00460015">
            <w:pPr>
              <w:jc w:val="right"/>
              <w:rPr>
                <w:rFonts w:ascii="Arial" w:eastAsia="Times New Roman" w:hAnsi="Arial" w:cs="Arial"/>
                <w:sz w:val="16"/>
                <w:szCs w:val="16"/>
              </w:rPr>
            </w:pPr>
            <w:r w:rsidRPr="00E50B5E">
              <w:rPr>
                <w:rFonts w:ascii="Arial" w:eastAsia="Times New Roman" w:hAnsi="Arial" w:cs="Arial"/>
                <w:sz w:val="16"/>
                <w:szCs w:val="16"/>
              </w:rPr>
              <w:t>0.02%</w:t>
            </w:r>
          </w:p>
        </w:tc>
        <w:tc>
          <w:tcPr>
            <w:tcW w:w="820" w:type="dxa"/>
            <w:tcBorders>
              <w:top w:val="nil"/>
              <w:left w:val="nil"/>
              <w:bottom w:val="single" w:sz="4" w:space="0" w:color="auto"/>
              <w:right w:val="single" w:sz="4" w:space="0" w:color="auto"/>
            </w:tcBorders>
            <w:shd w:val="clear" w:color="auto" w:fill="auto"/>
            <w:noWrap/>
            <w:vAlign w:val="bottom"/>
            <w:hideMark/>
          </w:tcPr>
          <w:p w14:paraId="01CA4B19" w14:textId="77777777" w:rsidR="006739E3" w:rsidRPr="00E50B5E" w:rsidRDefault="006739E3" w:rsidP="00460015">
            <w:pPr>
              <w:jc w:val="right"/>
              <w:rPr>
                <w:rFonts w:ascii="Arial" w:eastAsia="Times New Roman" w:hAnsi="Arial" w:cs="Arial"/>
                <w:sz w:val="16"/>
                <w:szCs w:val="16"/>
              </w:rPr>
            </w:pPr>
            <w:r w:rsidRPr="00E50B5E">
              <w:rPr>
                <w:rFonts w:ascii="Arial" w:eastAsia="Times New Roman" w:hAnsi="Arial" w:cs="Arial"/>
                <w:sz w:val="16"/>
                <w:szCs w:val="16"/>
              </w:rPr>
              <w:t>-3.39%</w:t>
            </w:r>
          </w:p>
        </w:tc>
      </w:tr>
      <w:tr w:rsidR="006739E3" w:rsidRPr="00E50B5E" w14:paraId="31CB377D" w14:textId="77777777" w:rsidTr="00460015">
        <w:trPr>
          <w:trHeight w:val="255"/>
        </w:trPr>
        <w:tc>
          <w:tcPr>
            <w:tcW w:w="8840" w:type="dxa"/>
            <w:gridSpan w:val="9"/>
            <w:tcBorders>
              <w:top w:val="single" w:sz="4" w:space="0" w:color="auto"/>
              <w:left w:val="nil"/>
              <w:bottom w:val="nil"/>
              <w:right w:val="nil"/>
            </w:tcBorders>
            <w:shd w:val="clear" w:color="auto" w:fill="auto"/>
            <w:noWrap/>
            <w:vAlign w:val="bottom"/>
            <w:hideMark/>
          </w:tcPr>
          <w:p w14:paraId="146CECF5" w14:textId="77777777" w:rsidR="006739E3" w:rsidRPr="00E50B5E" w:rsidRDefault="006739E3" w:rsidP="00460015">
            <w:pPr>
              <w:rPr>
                <w:rFonts w:ascii="Arial" w:eastAsia="Times New Roman" w:hAnsi="Arial" w:cs="Arial"/>
                <w:sz w:val="16"/>
                <w:szCs w:val="16"/>
              </w:rPr>
            </w:pPr>
            <w:r w:rsidRPr="00E50B5E">
              <w:rPr>
                <w:rFonts w:ascii="Arial" w:eastAsia="Times New Roman" w:hAnsi="Arial" w:cs="Arial"/>
                <w:sz w:val="16"/>
                <w:szCs w:val="16"/>
              </w:rPr>
              <w:t>* Inception of total return performance measurement was Fiscal Year 2004-2005</w:t>
            </w:r>
          </w:p>
        </w:tc>
      </w:tr>
    </w:tbl>
    <w:p w14:paraId="5C1C90FF" w14:textId="77777777" w:rsidR="006739E3" w:rsidRPr="006739E3" w:rsidRDefault="006739E3" w:rsidP="006739E3">
      <w:pPr>
        <w:rPr>
          <w:b/>
          <w:sz w:val="24"/>
          <w:szCs w:val="24"/>
        </w:rPr>
      </w:pPr>
    </w:p>
    <w:p w14:paraId="61BF6469" w14:textId="77777777" w:rsidR="006739E3" w:rsidRPr="006739E3" w:rsidRDefault="006739E3" w:rsidP="005F474A">
      <w:pPr>
        <w:rPr>
          <w:b/>
          <w:sz w:val="24"/>
          <w:szCs w:val="24"/>
        </w:rPr>
      </w:pPr>
    </w:p>
    <w:p w14:paraId="43F05ED3" w14:textId="77777777" w:rsidR="006739E3" w:rsidRPr="006739E3" w:rsidRDefault="006739E3" w:rsidP="005F474A">
      <w:pPr>
        <w:rPr>
          <w:b/>
          <w:sz w:val="24"/>
          <w:szCs w:val="24"/>
        </w:rPr>
      </w:pPr>
    </w:p>
    <w:p w14:paraId="2934AB2A" w14:textId="77777777" w:rsidR="006739E3" w:rsidRDefault="006739E3" w:rsidP="005F474A">
      <w:pPr>
        <w:rPr>
          <w:b/>
          <w:sz w:val="32"/>
          <w:szCs w:val="32"/>
        </w:rPr>
      </w:pPr>
    </w:p>
    <w:p w14:paraId="7D86C2CA" w14:textId="77777777" w:rsidR="006739E3" w:rsidRDefault="006739E3" w:rsidP="005F474A">
      <w:pPr>
        <w:rPr>
          <w:b/>
          <w:sz w:val="32"/>
          <w:szCs w:val="32"/>
        </w:rPr>
      </w:pPr>
    </w:p>
    <w:p w14:paraId="62242F31" w14:textId="74A75C62" w:rsidR="00905E0F" w:rsidRDefault="00905E0F">
      <w:pPr>
        <w:rPr>
          <w:b/>
          <w:sz w:val="32"/>
          <w:szCs w:val="32"/>
        </w:rPr>
      </w:pPr>
      <w:r>
        <w:rPr>
          <w:b/>
          <w:sz w:val="32"/>
          <w:szCs w:val="32"/>
        </w:rPr>
        <w:br w:type="page"/>
      </w:r>
    </w:p>
    <w:p w14:paraId="1D453DC5" w14:textId="2317C66E" w:rsidR="005F474A" w:rsidRDefault="005F474A" w:rsidP="005F474A">
      <w:pPr>
        <w:rPr>
          <w:b/>
          <w:sz w:val="32"/>
          <w:szCs w:val="32"/>
        </w:rPr>
      </w:pPr>
      <w:r w:rsidRPr="00B06795">
        <w:rPr>
          <w:b/>
          <w:sz w:val="32"/>
          <w:szCs w:val="32"/>
        </w:rPr>
        <w:lastRenderedPageBreak/>
        <w:t>LEQTF vs. Benchmarks Graph</w:t>
      </w:r>
    </w:p>
    <w:p w14:paraId="49A44238" w14:textId="5DA3ADE5" w:rsidR="00E50B5E" w:rsidRDefault="00E50B5E" w:rsidP="005F474A">
      <w:pPr>
        <w:rPr>
          <w:b/>
          <w:sz w:val="32"/>
          <w:szCs w:val="32"/>
        </w:rPr>
      </w:pPr>
      <w:r>
        <w:rPr>
          <w:noProof/>
        </w:rPr>
        <w:drawing>
          <wp:inline distT="0" distB="0" distL="0" distR="0" wp14:anchorId="6B532273" wp14:editId="26D99C69">
            <wp:extent cx="5629275" cy="3800475"/>
            <wp:effectExtent l="0" t="0" r="9525" b="9525"/>
            <wp:docPr id="1038781236"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D1E10B0" w14:textId="77777777" w:rsidR="00817661" w:rsidRPr="006507A9" w:rsidRDefault="00817661" w:rsidP="00D67EEB">
      <w:pPr>
        <w:rPr>
          <w:b/>
          <w:sz w:val="24"/>
          <w:szCs w:val="24"/>
        </w:rPr>
      </w:pPr>
    </w:p>
    <w:p w14:paraId="08472C74" w14:textId="77777777" w:rsidR="00D67EEB" w:rsidRDefault="00D67EEB" w:rsidP="00D67EEB">
      <w:pPr>
        <w:rPr>
          <w:b/>
          <w:sz w:val="32"/>
          <w:szCs w:val="32"/>
        </w:rPr>
      </w:pPr>
      <w:r w:rsidRPr="001B6B4E">
        <w:rPr>
          <w:b/>
          <w:sz w:val="32"/>
          <w:szCs w:val="32"/>
        </w:rPr>
        <w:t>LEQTF Portfolio Characteristics</w:t>
      </w:r>
    </w:p>
    <w:tbl>
      <w:tblPr>
        <w:tblW w:w="8820" w:type="dxa"/>
        <w:tblLook w:val="04A0" w:firstRow="1" w:lastRow="0" w:firstColumn="1" w:lastColumn="0" w:noHBand="0" w:noVBand="1"/>
      </w:tblPr>
      <w:tblGrid>
        <w:gridCol w:w="1980"/>
        <w:gridCol w:w="1026"/>
        <w:gridCol w:w="1026"/>
        <w:gridCol w:w="1026"/>
        <w:gridCol w:w="1026"/>
        <w:gridCol w:w="1026"/>
        <w:gridCol w:w="1026"/>
        <w:gridCol w:w="1026"/>
      </w:tblGrid>
      <w:tr w:rsidR="002C61EA" w:rsidRPr="002C61EA" w14:paraId="6ECE7D60" w14:textId="77777777" w:rsidTr="002C61EA">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59AFAA" w14:textId="77777777" w:rsidR="002C61EA" w:rsidRPr="002C61EA" w:rsidRDefault="002C61EA" w:rsidP="002C61EA">
            <w:pPr>
              <w:rPr>
                <w:rFonts w:ascii="Calibri" w:eastAsia="Times New Roman" w:hAnsi="Calibri" w:cs="Calibri"/>
                <w:b/>
                <w:bCs/>
                <w:sz w:val="20"/>
                <w:szCs w:val="20"/>
              </w:rPr>
            </w:pPr>
            <w:r w:rsidRPr="002C61EA">
              <w:rPr>
                <w:rFonts w:ascii="Calibri" w:eastAsia="Times New Roman" w:hAnsi="Calibri" w:cs="Calibri"/>
                <w:b/>
                <w:bCs/>
                <w:sz w:val="20"/>
                <w:szCs w:val="20"/>
              </w:rPr>
              <w:t> </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77B4F8E0" w14:textId="77777777" w:rsidR="002C61EA" w:rsidRPr="002C61EA" w:rsidRDefault="002C61EA" w:rsidP="002C61EA">
            <w:pPr>
              <w:jc w:val="right"/>
              <w:rPr>
                <w:rFonts w:ascii="Calibri" w:eastAsia="Times New Roman" w:hAnsi="Calibri" w:cs="Calibri"/>
                <w:b/>
                <w:bCs/>
                <w:sz w:val="20"/>
                <w:szCs w:val="20"/>
              </w:rPr>
            </w:pPr>
            <w:r w:rsidRPr="002C61EA">
              <w:rPr>
                <w:rFonts w:ascii="Calibri" w:eastAsia="Times New Roman" w:hAnsi="Calibri" w:cs="Calibri"/>
                <w:b/>
                <w:bCs/>
                <w:sz w:val="20"/>
                <w:szCs w:val="20"/>
              </w:rPr>
              <w:t>6/30/17</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74BCADB2" w14:textId="77777777" w:rsidR="002C61EA" w:rsidRPr="002C61EA" w:rsidRDefault="002C61EA" w:rsidP="002C61EA">
            <w:pPr>
              <w:jc w:val="right"/>
              <w:rPr>
                <w:rFonts w:ascii="Calibri" w:eastAsia="Times New Roman" w:hAnsi="Calibri" w:cs="Calibri"/>
                <w:b/>
                <w:bCs/>
                <w:sz w:val="20"/>
                <w:szCs w:val="20"/>
              </w:rPr>
            </w:pPr>
            <w:r w:rsidRPr="002C61EA">
              <w:rPr>
                <w:rFonts w:ascii="Calibri" w:eastAsia="Times New Roman" w:hAnsi="Calibri" w:cs="Calibri"/>
                <w:b/>
                <w:bCs/>
                <w:sz w:val="20"/>
                <w:szCs w:val="20"/>
              </w:rPr>
              <w:t>6/30/18</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05607D7A" w14:textId="77777777" w:rsidR="002C61EA" w:rsidRPr="002C61EA" w:rsidRDefault="002C61EA" w:rsidP="002C61EA">
            <w:pPr>
              <w:jc w:val="right"/>
              <w:rPr>
                <w:rFonts w:ascii="Calibri" w:eastAsia="Times New Roman" w:hAnsi="Calibri" w:cs="Calibri"/>
                <w:b/>
                <w:bCs/>
                <w:sz w:val="20"/>
                <w:szCs w:val="20"/>
              </w:rPr>
            </w:pPr>
            <w:r w:rsidRPr="002C61EA">
              <w:rPr>
                <w:rFonts w:ascii="Calibri" w:eastAsia="Times New Roman" w:hAnsi="Calibri" w:cs="Calibri"/>
                <w:b/>
                <w:bCs/>
                <w:sz w:val="20"/>
                <w:szCs w:val="20"/>
              </w:rPr>
              <w:t>6/30/19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1BA75E1" w14:textId="77777777" w:rsidR="002C61EA" w:rsidRPr="002C61EA" w:rsidRDefault="002C61EA" w:rsidP="002C61EA">
            <w:pPr>
              <w:jc w:val="right"/>
              <w:rPr>
                <w:rFonts w:ascii="Calibri" w:eastAsia="Times New Roman" w:hAnsi="Calibri" w:cs="Calibri"/>
                <w:b/>
                <w:bCs/>
                <w:sz w:val="20"/>
                <w:szCs w:val="20"/>
              </w:rPr>
            </w:pPr>
            <w:r w:rsidRPr="002C61EA">
              <w:rPr>
                <w:rFonts w:ascii="Calibri" w:eastAsia="Times New Roman" w:hAnsi="Calibri" w:cs="Calibri"/>
                <w:b/>
                <w:bCs/>
                <w:sz w:val="20"/>
                <w:szCs w:val="20"/>
              </w:rPr>
              <w:t>6/30/20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9491A4B" w14:textId="77777777" w:rsidR="002C61EA" w:rsidRPr="002C61EA" w:rsidRDefault="002C61EA" w:rsidP="002C61EA">
            <w:pPr>
              <w:jc w:val="right"/>
              <w:rPr>
                <w:rFonts w:ascii="Calibri" w:eastAsia="Times New Roman" w:hAnsi="Calibri" w:cs="Calibri"/>
                <w:b/>
                <w:bCs/>
                <w:sz w:val="20"/>
                <w:szCs w:val="20"/>
              </w:rPr>
            </w:pPr>
            <w:r w:rsidRPr="002C61EA">
              <w:rPr>
                <w:rFonts w:ascii="Calibri" w:eastAsia="Times New Roman" w:hAnsi="Calibri" w:cs="Calibri"/>
                <w:b/>
                <w:bCs/>
                <w:sz w:val="20"/>
                <w:szCs w:val="20"/>
              </w:rPr>
              <w:t>6/30/21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4829C1F" w14:textId="77777777" w:rsidR="002C61EA" w:rsidRPr="002C61EA" w:rsidRDefault="002C61EA" w:rsidP="002C61EA">
            <w:pPr>
              <w:jc w:val="right"/>
              <w:rPr>
                <w:rFonts w:ascii="Calibri" w:eastAsia="Times New Roman" w:hAnsi="Calibri" w:cs="Calibri"/>
                <w:b/>
                <w:bCs/>
                <w:sz w:val="20"/>
                <w:szCs w:val="20"/>
              </w:rPr>
            </w:pPr>
            <w:r w:rsidRPr="002C61EA">
              <w:rPr>
                <w:rFonts w:ascii="Calibri" w:eastAsia="Times New Roman" w:hAnsi="Calibri" w:cs="Calibri"/>
                <w:b/>
                <w:bCs/>
                <w:sz w:val="20"/>
                <w:szCs w:val="20"/>
              </w:rPr>
              <w:t>6/30/22</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71AC01D0" w14:textId="77777777" w:rsidR="002C61EA" w:rsidRPr="002C61EA" w:rsidRDefault="002C61EA" w:rsidP="002C61EA">
            <w:pPr>
              <w:jc w:val="center"/>
              <w:rPr>
                <w:rFonts w:ascii="Calibri" w:eastAsia="Times New Roman" w:hAnsi="Calibri" w:cs="Calibri"/>
                <w:b/>
                <w:bCs/>
                <w:sz w:val="20"/>
                <w:szCs w:val="20"/>
              </w:rPr>
            </w:pPr>
            <w:r w:rsidRPr="002C61EA">
              <w:rPr>
                <w:rFonts w:ascii="Calibri" w:eastAsia="Times New Roman" w:hAnsi="Calibri" w:cs="Calibri"/>
                <w:b/>
                <w:bCs/>
                <w:sz w:val="20"/>
                <w:szCs w:val="20"/>
              </w:rPr>
              <w:t>6/30/23</w:t>
            </w:r>
          </w:p>
        </w:tc>
      </w:tr>
      <w:tr w:rsidR="002C61EA" w:rsidRPr="002C61EA" w14:paraId="6D24E31D" w14:textId="77777777" w:rsidTr="002C61EA">
        <w:trPr>
          <w:trHeight w:val="510"/>
        </w:trPr>
        <w:tc>
          <w:tcPr>
            <w:tcW w:w="1980" w:type="dxa"/>
            <w:tcBorders>
              <w:top w:val="nil"/>
              <w:left w:val="single" w:sz="4" w:space="0" w:color="auto"/>
              <w:bottom w:val="single" w:sz="4" w:space="0" w:color="auto"/>
              <w:right w:val="single" w:sz="4" w:space="0" w:color="auto"/>
            </w:tcBorders>
            <w:shd w:val="clear" w:color="auto" w:fill="auto"/>
            <w:vAlign w:val="bottom"/>
            <w:hideMark/>
          </w:tcPr>
          <w:p w14:paraId="02ACAC9D" w14:textId="77777777" w:rsidR="002C61EA" w:rsidRPr="002C61EA" w:rsidRDefault="002C61EA" w:rsidP="002C61EA">
            <w:pPr>
              <w:rPr>
                <w:rFonts w:ascii="Calibri" w:eastAsia="Times New Roman" w:hAnsi="Calibri" w:cs="Calibri"/>
                <w:sz w:val="20"/>
                <w:szCs w:val="20"/>
              </w:rPr>
            </w:pPr>
            <w:r w:rsidRPr="002C61EA">
              <w:rPr>
                <w:rFonts w:ascii="Calibri" w:eastAsia="Times New Roman" w:hAnsi="Calibri" w:cs="Calibri"/>
                <w:sz w:val="20"/>
                <w:szCs w:val="20"/>
              </w:rPr>
              <w:t xml:space="preserve">Mkt. Val. Portfolio </w:t>
            </w:r>
            <w:proofErr w:type="gramStart"/>
            <w:r w:rsidRPr="002C61EA">
              <w:rPr>
                <w:rFonts w:ascii="Calibri" w:eastAsia="Times New Roman" w:hAnsi="Calibri" w:cs="Calibri"/>
                <w:sz w:val="20"/>
                <w:szCs w:val="20"/>
              </w:rPr>
              <w:t>With</w:t>
            </w:r>
            <w:proofErr w:type="gramEnd"/>
            <w:r w:rsidRPr="002C61EA">
              <w:rPr>
                <w:rFonts w:ascii="Calibri" w:eastAsia="Times New Roman" w:hAnsi="Calibri" w:cs="Calibri"/>
                <w:sz w:val="20"/>
                <w:szCs w:val="20"/>
              </w:rPr>
              <w:t xml:space="preserve"> Support Fund</w:t>
            </w:r>
          </w:p>
        </w:tc>
        <w:tc>
          <w:tcPr>
            <w:tcW w:w="980" w:type="dxa"/>
            <w:tcBorders>
              <w:top w:val="nil"/>
              <w:left w:val="nil"/>
              <w:bottom w:val="single" w:sz="4" w:space="0" w:color="auto"/>
              <w:right w:val="single" w:sz="4" w:space="0" w:color="auto"/>
            </w:tcBorders>
            <w:shd w:val="clear" w:color="auto" w:fill="auto"/>
            <w:noWrap/>
            <w:vAlign w:val="center"/>
            <w:hideMark/>
          </w:tcPr>
          <w:p w14:paraId="3566A355" w14:textId="77777777" w:rsidR="002C61EA" w:rsidRPr="002C61EA" w:rsidRDefault="002C61EA" w:rsidP="002C61EA">
            <w:pPr>
              <w:jc w:val="right"/>
              <w:rPr>
                <w:rFonts w:ascii="Calibri" w:eastAsia="Times New Roman" w:hAnsi="Calibri" w:cs="Calibri"/>
                <w:sz w:val="20"/>
                <w:szCs w:val="20"/>
              </w:rPr>
            </w:pPr>
            <w:r w:rsidRPr="002C61EA">
              <w:rPr>
                <w:rFonts w:ascii="Calibri" w:eastAsia="Times New Roman" w:hAnsi="Calibri" w:cs="Calibri"/>
                <w:sz w:val="20"/>
                <w:szCs w:val="20"/>
              </w:rPr>
              <w:t>$1,416.85</w:t>
            </w:r>
          </w:p>
        </w:tc>
        <w:tc>
          <w:tcPr>
            <w:tcW w:w="980" w:type="dxa"/>
            <w:tcBorders>
              <w:top w:val="nil"/>
              <w:left w:val="nil"/>
              <w:bottom w:val="single" w:sz="4" w:space="0" w:color="auto"/>
              <w:right w:val="single" w:sz="4" w:space="0" w:color="auto"/>
            </w:tcBorders>
            <w:shd w:val="clear" w:color="auto" w:fill="auto"/>
            <w:noWrap/>
            <w:vAlign w:val="center"/>
            <w:hideMark/>
          </w:tcPr>
          <w:p w14:paraId="3D94B25F" w14:textId="77777777" w:rsidR="002C61EA" w:rsidRPr="002C61EA" w:rsidRDefault="002C61EA" w:rsidP="002C61EA">
            <w:pPr>
              <w:jc w:val="right"/>
              <w:rPr>
                <w:rFonts w:ascii="Calibri" w:eastAsia="Times New Roman" w:hAnsi="Calibri" w:cs="Calibri"/>
                <w:sz w:val="20"/>
                <w:szCs w:val="20"/>
              </w:rPr>
            </w:pPr>
            <w:r w:rsidRPr="002C61EA">
              <w:rPr>
                <w:rFonts w:ascii="Calibri" w:eastAsia="Times New Roman" w:hAnsi="Calibri" w:cs="Calibri"/>
                <w:sz w:val="20"/>
                <w:szCs w:val="20"/>
              </w:rPr>
              <w:t>$1,502.65</w:t>
            </w:r>
          </w:p>
        </w:tc>
        <w:tc>
          <w:tcPr>
            <w:tcW w:w="980" w:type="dxa"/>
            <w:tcBorders>
              <w:top w:val="nil"/>
              <w:left w:val="nil"/>
              <w:bottom w:val="single" w:sz="4" w:space="0" w:color="auto"/>
              <w:right w:val="single" w:sz="4" w:space="0" w:color="auto"/>
            </w:tcBorders>
            <w:shd w:val="clear" w:color="auto" w:fill="auto"/>
            <w:noWrap/>
            <w:vAlign w:val="center"/>
            <w:hideMark/>
          </w:tcPr>
          <w:p w14:paraId="0C8BC3BA" w14:textId="77777777" w:rsidR="002C61EA" w:rsidRPr="002C61EA" w:rsidRDefault="002C61EA" w:rsidP="002C61EA">
            <w:pPr>
              <w:jc w:val="right"/>
              <w:rPr>
                <w:rFonts w:ascii="Calibri" w:eastAsia="Times New Roman" w:hAnsi="Calibri" w:cs="Calibri"/>
                <w:sz w:val="20"/>
                <w:szCs w:val="20"/>
              </w:rPr>
            </w:pPr>
            <w:r w:rsidRPr="002C61EA">
              <w:rPr>
                <w:rFonts w:ascii="Calibri" w:eastAsia="Times New Roman" w:hAnsi="Calibri" w:cs="Calibri"/>
                <w:sz w:val="20"/>
                <w:szCs w:val="20"/>
              </w:rPr>
              <w:t>$1,502.65</w:t>
            </w:r>
          </w:p>
        </w:tc>
        <w:tc>
          <w:tcPr>
            <w:tcW w:w="960" w:type="dxa"/>
            <w:tcBorders>
              <w:top w:val="nil"/>
              <w:left w:val="nil"/>
              <w:bottom w:val="single" w:sz="4" w:space="0" w:color="auto"/>
              <w:right w:val="single" w:sz="4" w:space="0" w:color="auto"/>
            </w:tcBorders>
            <w:shd w:val="clear" w:color="auto" w:fill="auto"/>
            <w:noWrap/>
            <w:vAlign w:val="center"/>
            <w:hideMark/>
          </w:tcPr>
          <w:p w14:paraId="68E0688C" w14:textId="77777777" w:rsidR="002C61EA" w:rsidRPr="002C61EA" w:rsidRDefault="002C61EA" w:rsidP="002C61EA">
            <w:pPr>
              <w:jc w:val="right"/>
              <w:rPr>
                <w:rFonts w:ascii="Calibri" w:eastAsia="Times New Roman" w:hAnsi="Calibri" w:cs="Calibri"/>
                <w:sz w:val="20"/>
                <w:szCs w:val="20"/>
              </w:rPr>
            </w:pPr>
            <w:r w:rsidRPr="002C61EA">
              <w:rPr>
                <w:rFonts w:ascii="Calibri" w:eastAsia="Times New Roman" w:hAnsi="Calibri" w:cs="Calibri"/>
                <w:sz w:val="20"/>
                <w:szCs w:val="20"/>
              </w:rPr>
              <w:t>$1,526.13</w:t>
            </w:r>
          </w:p>
        </w:tc>
        <w:tc>
          <w:tcPr>
            <w:tcW w:w="960" w:type="dxa"/>
            <w:tcBorders>
              <w:top w:val="nil"/>
              <w:left w:val="nil"/>
              <w:bottom w:val="single" w:sz="4" w:space="0" w:color="auto"/>
              <w:right w:val="single" w:sz="4" w:space="0" w:color="auto"/>
            </w:tcBorders>
            <w:shd w:val="clear" w:color="auto" w:fill="auto"/>
            <w:noWrap/>
            <w:vAlign w:val="center"/>
            <w:hideMark/>
          </w:tcPr>
          <w:p w14:paraId="0417A29F" w14:textId="77777777" w:rsidR="002C61EA" w:rsidRPr="002C61EA" w:rsidRDefault="002C61EA" w:rsidP="002C61EA">
            <w:pPr>
              <w:jc w:val="right"/>
              <w:rPr>
                <w:rFonts w:ascii="Calibri" w:eastAsia="Times New Roman" w:hAnsi="Calibri" w:cs="Calibri"/>
                <w:sz w:val="20"/>
                <w:szCs w:val="20"/>
              </w:rPr>
            </w:pPr>
            <w:r w:rsidRPr="002C61EA">
              <w:rPr>
                <w:rFonts w:ascii="Calibri" w:eastAsia="Times New Roman" w:hAnsi="Calibri" w:cs="Calibri"/>
                <w:sz w:val="20"/>
                <w:szCs w:val="20"/>
              </w:rPr>
              <w:t>$1,673.48</w:t>
            </w:r>
          </w:p>
        </w:tc>
        <w:tc>
          <w:tcPr>
            <w:tcW w:w="960" w:type="dxa"/>
            <w:tcBorders>
              <w:top w:val="nil"/>
              <w:left w:val="nil"/>
              <w:bottom w:val="single" w:sz="4" w:space="0" w:color="auto"/>
              <w:right w:val="single" w:sz="4" w:space="0" w:color="auto"/>
            </w:tcBorders>
            <w:shd w:val="clear" w:color="auto" w:fill="auto"/>
            <w:noWrap/>
            <w:vAlign w:val="center"/>
            <w:hideMark/>
          </w:tcPr>
          <w:p w14:paraId="19C6667C" w14:textId="77777777" w:rsidR="002C61EA" w:rsidRPr="002C61EA" w:rsidRDefault="002C61EA" w:rsidP="002C61EA">
            <w:pPr>
              <w:jc w:val="right"/>
              <w:rPr>
                <w:rFonts w:ascii="Calibri" w:eastAsia="Times New Roman" w:hAnsi="Calibri" w:cs="Calibri"/>
                <w:sz w:val="20"/>
                <w:szCs w:val="20"/>
              </w:rPr>
            </w:pPr>
            <w:r w:rsidRPr="002C61EA">
              <w:rPr>
                <w:rFonts w:ascii="Calibri" w:eastAsia="Times New Roman" w:hAnsi="Calibri" w:cs="Calibri"/>
                <w:sz w:val="20"/>
                <w:szCs w:val="20"/>
              </w:rPr>
              <w:t>$1,529.77</w:t>
            </w:r>
          </w:p>
        </w:tc>
        <w:tc>
          <w:tcPr>
            <w:tcW w:w="1020" w:type="dxa"/>
            <w:tcBorders>
              <w:top w:val="nil"/>
              <w:left w:val="nil"/>
              <w:bottom w:val="single" w:sz="4" w:space="0" w:color="auto"/>
              <w:right w:val="single" w:sz="4" w:space="0" w:color="auto"/>
            </w:tcBorders>
            <w:shd w:val="clear" w:color="auto" w:fill="auto"/>
            <w:noWrap/>
            <w:vAlign w:val="center"/>
            <w:hideMark/>
          </w:tcPr>
          <w:p w14:paraId="6B5669C7" w14:textId="77777777" w:rsidR="002C61EA" w:rsidRPr="002C61EA" w:rsidRDefault="002C61EA" w:rsidP="002C61EA">
            <w:pPr>
              <w:jc w:val="center"/>
              <w:rPr>
                <w:rFonts w:ascii="Calibri" w:eastAsia="Times New Roman" w:hAnsi="Calibri" w:cs="Calibri"/>
                <w:sz w:val="20"/>
                <w:szCs w:val="20"/>
              </w:rPr>
            </w:pPr>
            <w:r w:rsidRPr="002C61EA">
              <w:rPr>
                <w:rFonts w:ascii="Calibri" w:eastAsia="Times New Roman" w:hAnsi="Calibri" w:cs="Calibri"/>
                <w:sz w:val="20"/>
                <w:szCs w:val="20"/>
              </w:rPr>
              <w:t>$1,569.39</w:t>
            </w:r>
          </w:p>
        </w:tc>
      </w:tr>
      <w:tr w:rsidR="002C61EA" w:rsidRPr="002C61EA" w14:paraId="3EB6E719" w14:textId="77777777" w:rsidTr="002C61EA">
        <w:trPr>
          <w:trHeight w:val="510"/>
        </w:trPr>
        <w:tc>
          <w:tcPr>
            <w:tcW w:w="1980" w:type="dxa"/>
            <w:tcBorders>
              <w:top w:val="nil"/>
              <w:left w:val="single" w:sz="4" w:space="0" w:color="auto"/>
              <w:bottom w:val="single" w:sz="4" w:space="0" w:color="auto"/>
              <w:right w:val="single" w:sz="4" w:space="0" w:color="auto"/>
            </w:tcBorders>
            <w:shd w:val="clear" w:color="auto" w:fill="auto"/>
            <w:vAlign w:val="bottom"/>
            <w:hideMark/>
          </w:tcPr>
          <w:p w14:paraId="3B29B810" w14:textId="77777777" w:rsidR="002C61EA" w:rsidRPr="002C61EA" w:rsidRDefault="002C61EA" w:rsidP="002C61EA">
            <w:pPr>
              <w:rPr>
                <w:rFonts w:ascii="Calibri" w:eastAsia="Times New Roman" w:hAnsi="Calibri" w:cs="Calibri"/>
                <w:sz w:val="20"/>
                <w:szCs w:val="20"/>
              </w:rPr>
            </w:pPr>
            <w:r w:rsidRPr="002C61EA">
              <w:rPr>
                <w:rFonts w:ascii="Calibri" w:eastAsia="Times New Roman" w:hAnsi="Calibri" w:cs="Calibri"/>
                <w:sz w:val="20"/>
                <w:szCs w:val="20"/>
              </w:rPr>
              <w:t>Mkt. Value of Permanent Fund</w:t>
            </w:r>
          </w:p>
        </w:tc>
        <w:tc>
          <w:tcPr>
            <w:tcW w:w="980" w:type="dxa"/>
            <w:tcBorders>
              <w:top w:val="nil"/>
              <w:left w:val="nil"/>
              <w:bottom w:val="nil"/>
              <w:right w:val="single" w:sz="4" w:space="0" w:color="auto"/>
            </w:tcBorders>
            <w:shd w:val="clear" w:color="auto" w:fill="auto"/>
            <w:noWrap/>
            <w:vAlign w:val="center"/>
            <w:hideMark/>
          </w:tcPr>
          <w:p w14:paraId="4A870046" w14:textId="77777777" w:rsidR="002C61EA" w:rsidRPr="002C61EA" w:rsidRDefault="002C61EA" w:rsidP="002C61EA">
            <w:pPr>
              <w:jc w:val="right"/>
              <w:rPr>
                <w:rFonts w:ascii="Calibri" w:eastAsia="Times New Roman" w:hAnsi="Calibri" w:cs="Calibri"/>
                <w:sz w:val="20"/>
                <w:szCs w:val="20"/>
              </w:rPr>
            </w:pPr>
            <w:r w:rsidRPr="002C61EA">
              <w:rPr>
                <w:rFonts w:ascii="Calibri" w:eastAsia="Times New Roman" w:hAnsi="Calibri" w:cs="Calibri"/>
                <w:sz w:val="20"/>
                <w:szCs w:val="20"/>
              </w:rPr>
              <w:t>$1,375.54</w:t>
            </w:r>
          </w:p>
        </w:tc>
        <w:tc>
          <w:tcPr>
            <w:tcW w:w="980" w:type="dxa"/>
            <w:tcBorders>
              <w:top w:val="nil"/>
              <w:left w:val="nil"/>
              <w:bottom w:val="nil"/>
              <w:right w:val="single" w:sz="4" w:space="0" w:color="auto"/>
            </w:tcBorders>
            <w:shd w:val="clear" w:color="auto" w:fill="auto"/>
            <w:noWrap/>
            <w:vAlign w:val="center"/>
            <w:hideMark/>
          </w:tcPr>
          <w:p w14:paraId="38225BB1" w14:textId="77777777" w:rsidR="002C61EA" w:rsidRPr="002C61EA" w:rsidRDefault="002C61EA" w:rsidP="002C61EA">
            <w:pPr>
              <w:jc w:val="right"/>
              <w:rPr>
                <w:rFonts w:ascii="Calibri" w:eastAsia="Times New Roman" w:hAnsi="Calibri" w:cs="Calibri"/>
                <w:sz w:val="20"/>
                <w:szCs w:val="20"/>
              </w:rPr>
            </w:pPr>
            <w:r w:rsidRPr="002C61EA">
              <w:rPr>
                <w:rFonts w:ascii="Calibri" w:eastAsia="Times New Roman" w:hAnsi="Calibri" w:cs="Calibri"/>
                <w:sz w:val="20"/>
                <w:szCs w:val="20"/>
              </w:rPr>
              <w:t>$1,466.11</w:t>
            </w:r>
          </w:p>
        </w:tc>
        <w:tc>
          <w:tcPr>
            <w:tcW w:w="980" w:type="dxa"/>
            <w:tcBorders>
              <w:top w:val="nil"/>
              <w:left w:val="nil"/>
              <w:bottom w:val="nil"/>
              <w:right w:val="single" w:sz="4" w:space="0" w:color="auto"/>
            </w:tcBorders>
            <w:shd w:val="clear" w:color="auto" w:fill="auto"/>
            <w:noWrap/>
            <w:vAlign w:val="center"/>
            <w:hideMark/>
          </w:tcPr>
          <w:p w14:paraId="19245C1C" w14:textId="77777777" w:rsidR="002C61EA" w:rsidRPr="002C61EA" w:rsidRDefault="002C61EA" w:rsidP="002C61EA">
            <w:pPr>
              <w:jc w:val="right"/>
              <w:rPr>
                <w:rFonts w:ascii="Calibri" w:eastAsia="Times New Roman" w:hAnsi="Calibri" w:cs="Calibri"/>
                <w:sz w:val="20"/>
                <w:szCs w:val="20"/>
              </w:rPr>
            </w:pPr>
            <w:r w:rsidRPr="002C61EA">
              <w:rPr>
                <w:rFonts w:ascii="Calibri" w:eastAsia="Times New Roman" w:hAnsi="Calibri" w:cs="Calibri"/>
                <w:sz w:val="20"/>
                <w:szCs w:val="20"/>
              </w:rPr>
              <w:t>$1,457.04</w:t>
            </w:r>
          </w:p>
        </w:tc>
        <w:tc>
          <w:tcPr>
            <w:tcW w:w="960" w:type="dxa"/>
            <w:tcBorders>
              <w:top w:val="nil"/>
              <w:left w:val="nil"/>
              <w:bottom w:val="nil"/>
              <w:right w:val="single" w:sz="4" w:space="0" w:color="auto"/>
            </w:tcBorders>
            <w:shd w:val="clear" w:color="auto" w:fill="auto"/>
            <w:noWrap/>
            <w:vAlign w:val="center"/>
            <w:hideMark/>
          </w:tcPr>
          <w:p w14:paraId="22EE6A9A" w14:textId="77777777" w:rsidR="002C61EA" w:rsidRPr="002C61EA" w:rsidRDefault="002C61EA" w:rsidP="002C61EA">
            <w:pPr>
              <w:jc w:val="right"/>
              <w:rPr>
                <w:rFonts w:ascii="Calibri" w:eastAsia="Times New Roman" w:hAnsi="Calibri" w:cs="Calibri"/>
                <w:sz w:val="20"/>
                <w:szCs w:val="20"/>
              </w:rPr>
            </w:pPr>
            <w:r w:rsidRPr="002C61EA">
              <w:rPr>
                <w:rFonts w:ascii="Calibri" w:eastAsia="Times New Roman" w:hAnsi="Calibri" w:cs="Calibri"/>
                <w:sz w:val="20"/>
                <w:szCs w:val="20"/>
              </w:rPr>
              <w:t>$1,492.85</w:t>
            </w:r>
          </w:p>
        </w:tc>
        <w:tc>
          <w:tcPr>
            <w:tcW w:w="960" w:type="dxa"/>
            <w:tcBorders>
              <w:top w:val="nil"/>
              <w:left w:val="nil"/>
              <w:bottom w:val="nil"/>
              <w:right w:val="single" w:sz="4" w:space="0" w:color="auto"/>
            </w:tcBorders>
            <w:shd w:val="clear" w:color="auto" w:fill="auto"/>
            <w:noWrap/>
            <w:vAlign w:val="center"/>
            <w:hideMark/>
          </w:tcPr>
          <w:p w14:paraId="2F7C53EA" w14:textId="77777777" w:rsidR="002C61EA" w:rsidRPr="002C61EA" w:rsidRDefault="002C61EA" w:rsidP="002C61EA">
            <w:pPr>
              <w:jc w:val="right"/>
              <w:rPr>
                <w:rFonts w:ascii="Calibri" w:eastAsia="Times New Roman" w:hAnsi="Calibri" w:cs="Calibri"/>
                <w:sz w:val="20"/>
                <w:szCs w:val="20"/>
              </w:rPr>
            </w:pPr>
            <w:r w:rsidRPr="002C61EA">
              <w:rPr>
                <w:rFonts w:ascii="Calibri" w:eastAsia="Times New Roman" w:hAnsi="Calibri" w:cs="Calibri"/>
                <w:sz w:val="20"/>
                <w:szCs w:val="20"/>
              </w:rPr>
              <w:t>$1,630.57</w:t>
            </w:r>
          </w:p>
        </w:tc>
        <w:tc>
          <w:tcPr>
            <w:tcW w:w="960" w:type="dxa"/>
            <w:tcBorders>
              <w:top w:val="nil"/>
              <w:left w:val="nil"/>
              <w:bottom w:val="nil"/>
              <w:right w:val="single" w:sz="4" w:space="0" w:color="auto"/>
            </w:tcBorders>
            <w:shd w:val="clear" w:color="auto" w:fill="auto"/>
            <w:noWrap/>
            <w:vAlign w:val="center"/>
            <w:hideMark/>
          </w:tcPr>
          <w:p w14:paraId="4FABF3CD" w14:textId="77777777" w:rsidR="002C61EA" w:rsidRPr="002C61EA" w:rsidRDefault="002C61EA" w:rsidP="002C61EA">
            <w:pPr>
              <w:jc w:val="right"/>
              <w:rPr>
                <w:rFonts w:ascii="Calibri" w:eastAsia="Times New Roman" w:hAnsi="Calibri" w:cs="Calibri"/>
                <w:sz w:val="20"/>
                <w:szCs w:val="20"/>
              </w:rPr>
            </w:pPr>
            <w:r w:rsidRPr="002C61EA">
              <w:rPr>
                <w:rFonts w:ascii="Calibri" w:eastAsia="Times New Roman" w:hAnsi="Calibri" w:cs="Calibri"/>
                <w:sz w:val="20"/>
                <w:szCs w:val="20"/>
              </w:rPr>
              <w:t>$1,476.07</w:t>
            </w:r>
          </w:p>
        </w:tc>
        <w:tc>
          <w:tcPr>
            <w:tcW w:w="1020" w:type="dxa"/>
            <w:tcBorders>
              <w:top w:val="nil"/>
              <w:left w:val="nil"/>
              <w:bottom w:val="nil"/>
              <w:right w:val="single" w:sz="4" w:space="0" w:color="auto"/>
            </w:tcBorders>
            <w:shd w:val="clear" w:color="auto" w:fill="auto"/>
            <w:noWrap/>
            <w:vAlign w:val="center"/>
            <w:hideMark/>
          </w:tcPr>
          <w:p w14:paraId="12B4D75E" w14:textId="77777777" w:rsidR="002C61EA" w:rsidRPr="002C61EA" w:rsidRDefault="002C61EA" w:rsidP="002C61EA">
            <w:pPr>
              <w:jc w:val="center"/>
              <w:rPr>
                <w:rFonts w:ascii="Calibri" w:eastAsia="Times New Roman" w:hAnsi="Calibri" w:cs="Calibri"/>
                <w:sz w:val="20"/>
                <w:szCs w:val="20"/>
              </w:rPr>
            </w:pPr>
            <w:r w:rsidRPr="002C61EA">
              <w:rPr>
                <w:rFonts w:ascii="Calibri" w:eastAsia="Times New Roman" w:hAnsi="Calibri" w:cs="Calibri"/>
                <w:sz w:val="20"/>
                <w:szCs w:val="20"/>
              </w:rPr>
              <w:t>$1,529.92</w:t>
            </w:r>
          </w:p>
        </w:tc>
      </w:tr>
      <w:tr w:rsidR="002C61EA" w:rsidRPr="002C61EA" w14:paraId="6F60527D" w14:textId="77777777" w:rsidTr="002C61EA">
        <w:trPr>
          <w:trHeight w:val="510"/>
        </w:trPr>
        <w:tc>
          <w:tcPr>
            <w:tcW w:w="1980" w:type="dxa"/>
            <w:tcBorders>
              <w:top w:val="nil"/>
              <w:left w:val="single" w:sz="4" w:space="0" w:color="auto"/>
              <w:bottom w:val="single" w:sz="4" w:space="0" w:color="auto"/>
              <w:right w:val="single" w:sz="4" w:space="0" w:color="auto"/>
            </w:tcBorders>
            <w:shd w:val="clear" w:color="auto" w:fill="auto"/>
            <w:vAlign w:val="bottom"/>
            <w:hideMark/>
          </w:tcPr>
          <w:p w14:paraId="09CC7B88" w14:textId="77777777" w:rsidR="002C61EA" w:rsidRPr="002C61EA" w:rsidRDefault="002C61EA" w:rsidP="002C61EA">
            <w:pPr>
              <w:rPr>
                <w:rFonts w:ascii="Calibri" w:eastAsia="Times New Roman" w:hAnsi="Calibri" w:cs="Calibri"/>
                <w:sz w:val="20"/>
                <w:szCs w:val="20"/>
              </w:rPr>
            </w:pPr>
            <w:r w:rsidRPr="002C61EA">
              <w:rPr>
                <w:rFonts w:ascii="Calibri" w:eastAsia="Times New Roman" w:hAnsi="Calibri" w:cs="Calibri"/>
                <w:sz w:val="20"/>
                <w:szCs w:val="20"/>
              </w:rPr>
              <w:t xml:space="preserve">Unrealized Gains </w:t>
            </w:r>
            <w:proofErr w:type="gramStart"/>
            <w:r w:rsidRPr="002C61EA">
              <w:rPr>
                <w:rFonts w:ascii="Calibri" w:eastAsia="Times New Roman" w:hAnsi="Calibri" w:cs="Calibri"/>
                <w:sz w:val="20"/>
                <w:szCs w:val="20"/>
              </w:rPr>
              <w:t>And</w:t>
            </w:r>
            <w:proofErr w:type="gramEnd"/>
            <w:r w:rsidRPr="002C61EA">
              <w:rPr>
                <w:rFonts w:ascii="Calibri" w:eastAsia="Times New Roman" w:hAnsi="Calibri" w:cs="Calibri"/>
                <w:sz w:val="20"/>
                <w:szCs w:val="20"/>
              </w:rPr>
              <w:t xml:space="preserve"> Losses</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04ABD4E5" w14:textId="77777777" w:rsidR="002C61EA" w:rsidRPr="002C61EA" w:rsidRDefault="002C61EA" w:rsidP="002C61EA">
            <w:pPr>
              <w:jc w:val="right"/>
              <w:rPr>
                <w:rFonts w:ascii="Calibri" w:eastAsia="Times New Roman" w:hAnsi="Calibri" w:cs="Calibri"/>
                <w:sz w:val="20"/>
                <w:szCs w:val="20"/>
              </w:rPr>
            </w:pPr>
            <w:r w:rsidRPr="002C61EA">
              <w:rPr>
                <w:rFonts w:ascii="Calibri" w:eastAsia="Times New Roman" w:hAnsi="Calibri" w:cs="Calibri"/>
                <w:sz w:val="20"/>
                <w:szCs w:val="20"/>
              </w:rPr>
              <w:t>$140.26</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4F13096A" w14:textId="77777777" w:rsidR="002C61EA" w:rsidRPr="002C61EA" w:rsidRDefault="002C61EA" w:rsidP="002C61EA">
            <w:pPr>
              <w:jc w:val="right"/>
              <w:rPr>
                <w:rFonts w:ascii="Calibri" w:eastAsia="Times New Roman" w:hAnsi="Calibri" w:cs="Calibri"/>
                <w:sz w:val="20"/>
                <w:szCs w:val="20"/>
              </w:rPr>
            </w:pPr>
            <w:r w:rsidRPr="002C61EA">
              <w:rPr>
                <w:rFonts w:ascii="Calibri" w:eastAsia="Times New Roman" w:hAnsi="Calibri" w:cs="Calibri"/>
                <w:sz w:val="20"/>
                <w:szCs w:val="20"/>
              </w:rPr>
              <w:t>$142.29</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285D1880" w14:textId="77777777" w:rsidR="002C61EA" w:rsidRPr="002C61EA" w:rsidRDefault="002C61EA" w:rsidP="002C61EA">
            <w:pPr>
              <w:jc w:val="right"/>
              <w:rPr>
                <w:rFonts w:ascii="Calibri" w:eastAsia="Times New Roman" w:hAnsi="Calibri" w:cs="Calibri"/>
                <w:sz w:val="20"/>
                <w:szCs w:val="20"/>
              </w:rPr>
            </w:pPr>
            <w:r w:rsidRPr="002C61EA">
              <w:rPr>
                <w:rFonts w:ascii="Calibri" w:eastAsia="Times New Roman" w:hAnsi="Calibri" w:cs="Calibri"/>
                <w:sz w:val="20"/>
                <w:szCs w:val="20"/>
              </w:rPr>
              <w:t>$177.28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681BD0C" w14:textId="77777777" w:rsidR="002C61EA" w:rsidRPr="002C61EA" w:rsidRDefault="002C61EA" w:rsidP="002C61EA">
            <w:pPr>
              <w:jc w:val="right"/>
              <w:rPr>
                <w:rFonts w:ascii="Calibri" w:eastAsia="Times New Roman" w:hAnsi="Calibri" w:cs="Calibri"/>
                <w:sz w:val="20"/>
                <w:szCs w:val="20"/>
              </w:rPr>
            </w:pPr>
            <w:r w:rsidRPr="002C61EA">
              <w:rPr>
                <w:rFonts w:ascii="Calibri" w:eastAsia="Times New Roman" w:hAnsi="Calibri" w:cs="Calibri"/>
                <w:sz w:val="20"/>
                <w:szCs w:val="20"/>
              </w:rPr>
              <w:t>$188.76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A3E20F9" w14:textId="77777777" w:rsidR="002C61EA" w:rsidRPr="002C61EA" w:rsidRDefault="002C61EA" w:rsidP="002C61EA">
            <w:pPr>
              <w:jc w:val="right"/>
              <w:rPr>
                <w:rFonts w:ascii="Calibri" w:eastAsia="Times New Roman" w:hAnsi="Calibri" w:cs="Calibri"/>
                <w:sz w:val="20"/>
                <w:szCs w:val="20"/>
              </w:rPr>
            </w:pPr>
            <w:r w:rsidRPr="002C61EA">
              <w:rPr>
                <w:rFonts w:ascii="Calibri" w:eastAsia="Times New Roman" w:hAnsi="Calibri" w:cs="Calibri"/>
                <w:sz w:val="20"/>
                <w:szCs w:val="20"/>
              </w:rPr>
              <w:t>$241.27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C8398FF" w14:textId="77777777" w:rsidR="002C61EA" w:rsidRPr="002C61EA" w:rsidRDefault="002C61EA" w:rsidP="002C61EA">
            <w:pPr>
              <w:jc w:val="right"/>
              <w:rPr>
                <w:rFonts w:ascii="Calibri" w:eastAsia="Times New Roman" w:hAnsi="Calibri" w:cs="Calibri"/>
                <w:sz w:val="20"/>
                <w:szCs w:val="20"/>
              </w:rPr>
            </w:pPr>
            <w:r w:rsidRPr="002C61EA">
              <w:rPr>
                <w:rFonts w:ascii="Calibri" w:eastAsia="Times New Roman" w:hAnsi="Calibri" w:cs="Calibri"/>
                <w:sz w:val="20"/>
                <w:szCs w:val="20"/>
              </w:rPr>
              <w:t>$53.37</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2F912C61" w14:textId="77777777" w:rsidR="002C61EA" w:rsidRPr="002C61EA" w:rsidRDefault="002C61EA" w:rsidP="002C61EA">
            <w:pPr>
              <w:jc w:val="center"/>
              <w:rPr>
                <w:rFonts w:ascii="Calibri" w:eastAsia="Times New Roman" w:hAnsi="Calibri" w:cs="Calibri"/>
                <w:sz w:val="20"/>
                <w:szCs w:val="20"/>
              </w:rPr>
            </w:pPr>
            <w:r w:rsidRPr="002C61EA">
              <w:rPr>
                <w:rFonts w:ascii="Calibri" w:eastAsia="Times New Roman" w:hAnsi="Calibri" w:cs="Calibri"/>
                <w:sz w:val="20"/>
                <w:szCs w:val="20"/>
              </w:rPr>
              <w:t>$86.97</w:t>
            </w:r>
          </w:p>
        </w:tc>
      </w:tr>
      <w:tr w:rsidR="002C61EA" w:rsidRPr="002C61EA" w14:paraId="360182A9" w14:textId="77777777" w:rsidTr="006507A9">
        <w:trPr>
          <w:trHeight w:val="51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5D4969AA" w14:textId="77777777" w:rsidR="002C61EA" w:rsidRPr="002C61EA" w:rsidRDefault="002C61EA" w:rsidP="002C61EA">
            <w:pPr>
              <w:rPr>
                <w:rFonts w:ascii="Calibri" w:eastAsia="Times New Roman" w:hAnsi="Calibri" w:cs="Calibri"/>
                <w:sz w:val="20"/>
                <w:szCs w:val="20"/>
              </w:rPr>
            </w:pPr>
            <w:r w:rsidRPr="002C61EA">
              <w:rPr>
                <w:rFonts w:ascii="Calibri" w:eastAsia="Times New Roman" w:hAnsi="Calibri" w:cs="Calibri"/>
                <w:sz w:val="20"/>
                <w:szCs w:val="20"/>
              </w:rPr>
              <w:t>Average Maturity</w:t>
            </w:r>
          </w:p>
        </w:tc>
        <w:tc>
          <w:tcPr>
            <w:tcW w:w="980" w:type="dxa"/>
            <w:tcBorders>
              <w:top w:val="nil"/>
              <w:left w:val="nil"/>
              <w:bottom w:val="nil"/>
              <w:right w:val="single" w:sz="4" w:space="0" w:color="auto"/>
            </w:tcBorders>
            <w:shd w:val="clear" w:color="auto" w:fill="auto"/>
            <w:noWrap/>
            <w:vAlign w:val="center"/>
            <w:hideMark/>
          </w:tcPr>
          <w:p w14:paraId="64677A18" w14:textId="77777777" w:rsidR="002C61EA" w:rsidRPr="002C61EA" w:rsidRDefault="002C61EA" w:rsidP="002C61EA">
            <w:pPr>
              <w:jc w:val="right"/>
              <w:rPr>
                <w:rFonts w:ascii="Calibri" w:eastAsia="Times New Roman" w:hAnsi="Calibri" w:cs="Calibri"/>
                <w:sz w:val="20"/>
                <w:szCs w:val="20"/>
              </w:rPr>
            </w:pPr>
            <w:r w:rsidRPr="002C61EA">
              <w:rPr>
                <w:rFonts w:ascii="Calibri" w:eastAsia="Times New Roman" w:hAnsi="Calibri" w:cs="Calibri"/>
                <w:sz w:val="20"/>
                <w:szCs w:val="20"/>
              </w:rPr>
              <w:t xml:space="preserve">5.49 </w:t>
            </w:r>
            <w:proofErr w:type="spellStart"/>
            <w:r w:rsidRPr="002C61EA">
              <w:rPr>
                <w:rFonts w:ascii="Calibri" w:eastAsia="Times New Roman" w:hAnsi="Calibri" w:cs="Calibri"/>
                <w:sz w:val="20"/>
                <w:szCs w:val="20"/>
              </w:rPr>
              <w:t>Yrs</w:t>
            </w:r>
            <w:proofErr w:type="spellEnd"/>
          </w:p>
        </w:tc>
        <w:tc>
          <w:tcPr>
            <w:tcW w:w="980" w:type="dxa"/>
            <w:tcBorders>
              <w:top w:val="nil"/>
              <w:left w:val="nil"/>
              <w:bottom w:val="nil"/>
              <w:right w:val="single" w:sz="4" w:space="0" w:color="auto"/>
            </w:tcBorders>
            <w:shd w:val="clear" w:color="auto" w:fill="auto"/>
            <w:noWrap/>
            <w:vAlign w:val="center"/>
            <w:hideMark/>
          </w:tcPr>
          <w:p w14:paraId="70C3D4AA" w14:textId="77777777" w:rsidR="002C61EA" w:rsidRPr="002C61EA" w:rsidRDefault="002C61EA" w:rsidP="002C61EA">
            <w:pPr>
              <w:jc w:val="right"/>
              <w:rPr>
                <w:rFonts w:ascii="Calibri" w:eastAsia="Times New Roman" w:hAnsi="Calibri" w:cs="Calibri"/>
                <w:sz w:val="20"/>
                <w:szCs w:val="20"/>
              </w:rPr>
            </w:pPr>
            <w:r w:rsidRPr="002C61EA">
              <w:rPr>
                <w:rFonts w:ascii="Calibri" w:eastAsia="Times New Roman" w:hAnsi="Calibri" w:cs="Calibri"/>
                <w:sz w:val="20"/>
                <w:szCs w:val="20"/>
              </w:rPr>
              <w:t xml:space="preserve">4.60 </w:t>
            </w:r>
            <w:proofErr w:type="spellStart"/>
            <w:r w:rsidRPr="002C61EA">
              <w:rPr>
                <w:rFonts w:ascii="Calibri" w:eastAsia="Times New Roman" w:hAnsi="Calibri" w:cs="Calibri"/>
                <w:sz w:val="20"/>
                <w:szCs w:val="20"/>
              </w:rPr>
              <w:t>Yrs</w:t>
            </w:r>
            <w:proofErr w:type="spellEnd"/>
          </w:p>
        </w:tc>
        <w:tc>
          <w:tcPr>
            <w:tcW w:w="980" w:type="dxa"/>
            <w:tcBorders>
              <w:top w:val="nil"/>
              <w:left w:val="nil"/>
              <w:bottom w:val="nil"/>
              <w:right w:val="single" w:sz="4" w:space="0" w:color="auto"/>
            </w:tcBorders>
            <w:shd w:val="clear" w:color="auto" w:fill="auto"/>
            <w:noWrap/>
            <w:vAlign w:val="center"/>
            <w:hideMark/>
          </w:tcPr>
          <w:p w14:paraId="23C277D1" w14:textId="77777777" w:rsidR="002C61EA" w:rsidRPr="002C61EA" w:rsidRDefault="002C61EA" w:rsidP="002C61EA">
            <w:pPr>
              <w:jc w:val="right"/>
              <w:rPr>
                <w:rFonts w:ascii="Calibri" w:eastAsia="Times New Roman" w:hAnsi="Calibri" w:cs="Calibri"/>
                <w:sz w:val="20"/>
                <w:szCs w:val="20"/>
              </w:rPr>
            </w:pPr>
            <w:r w:rsidRPr="002C61EA">
              <w:rPr>
                <w:rFonts w:ascii="Calibri" w:eastAsia="Times New Roman" w:hAnsi="Calibri" w:cs="Calibri"/>
                <w:sz w:val="20"/>
                <w:szCs w:val="20"/>
              </w:rPr>
              <w:t xml:space="preserve">5.214 </w:t>
            </w:r>
            <w:proofErr w:type="spellStart"/>
            <w:r w:rsidRPr="002C61EA">
              <w:rPr>
                <w:rFonts w:ascii="Calibri" w:eastAsia="Times New Roman" w:hAnsi="Calibri" w:cs="Calibri"/>
                <w:sz w:val="20"/>
                <w:szCs w:val="20"/>
              </w:rPr>
              <w:t>Yrs</w:t>
            </w:r>
            <w:proofErr w:type="spellEnd"/>
          </w:p>
        </w:tc>
        <w:tc>
          <w:tcPr>
            <w:tcW w:w="960" w:type="dxa"/>
            <w:tcBorders>
              <w:top w:val="nil"/>
              <w:left w:val="nil"/>
              <w:bottom w:val="nil"/>
              <w:right w:val="single" w:sz="4" w:space="0" w:color="auto"/>
            </w:tcBorders>
            <w:shd w:val="clear" w:color="auto" w:fill="auto"/>
            <w:noWrap/>
            <w:vAlign w:val="center"/>
            <w:hideMark/>
          </w:tcPr>
          <w:p w14:paraId="767B62B7" w14:textId="77777777" w:rsidR="002C61EA" w:rsidRPr="002C61EA" w:rsidRDefault="002C61EA" w:rsidP="002C61EA">
            <w:pPr>
              <w:jc w:val="right"/>
              <w:rPr>
                <w:rFonts w:ascii="Calibri" w:eastAsia="Times New Roman" w:hAnsi="Calibri" w:cs="Calibri"/>
                <w:sz w:val="20"/>
                <w:szCs w:val="20"/>
              </w:rPr>
            </w:pPr>
            <w:r w:rsidRPr="002C61EA">
              <w:rPr>
                <w:rFonts w:ascii="Calibri" w:eastAsia="Times New Roman" w:hAnsi="Calibri" w:cs="Calibri"/>
                <w:sz w:val="20"/>
                <w:szCs w:val="20"/>
              </w:rPr>
              <w:t xml:space="preserve">4.28 </w:t>
            </w:r>
            <w:proofErr w:type="spellStart"/>
            <w:r w:rsidRPr="002C61EA">
              <w:rPr>
                <w:rFonts w:ascii="Calibri" w:eastAsia="Times New Roman" w:hAnsi="Calibri" w:cs="Calibri"/>
                <w:sz w:val="20"/>
                <w:szCs w:val="20"/>
              </w:rPr>
              <w:t>Yrs</w:t>
            </w:r>
            <w:proofErr w:type="spellEnd"/>
          </w:p>
        </w:tc>
        <w:tc>
          <w:tcPr>
            <w:tcW w:w="960" w:type="dxa"/>
            <w:tcBorders>
              <w:top w:val="nil"/>
              <w:left w:val="nil"/>
              <w:bottom w:val="nil"/>
              <w:right w:val="single" w:sz="4" w:space="0" w:color="auto"/>
            </w:tcBorders>
            <w:shd w:val="clear" w:color="auto" w:fill="auto"/>
            <w:noWrap/>
            <w:vAlign w:val="center"/>
            <w:hideMark/>
          </w:tcPr>
          <w:p w14:paraId="768705DB" w14:textId="77777777" w:rsidR="002C61EA" w:rsidRPr="002C61EA" w:rsidRDefault="002C61EA" w:rsidP="002C61EA">
            <w:pPr>
              <w:jc w:val="right"/>
              <w:rPr>
                <w:rFonts w:ascii="Calibri" w:eastAsia="Times New Roman" w:hAnsi="Calibri" w:cs="Calibri"/>
                <w:sz w:val="20"/>
                <w:szCs w:val="20"/>
              </w:rPr>
            </w:pPr>
            <w:r w:rsidRPr="002C61EA">
              <w:rPr>
                <w:rFonts w:ascii="Calibri" w:eastAsia="Times New Roman" w:hAnsi="Calibri" w:cs="Calibri"/>
                <w:sz w:val="20"/>
                <w:szCs w:val="20"/>
              </w:rPr>
              <w:t xml:space="preserve">4.37 </w:t>
            </w:r>
            <w:proofErr w:type="spellStart"/>
            <w:r w:rsidRPr="002C61EA">
              <w:rPr>
                <w:rFonts w:ascii="Calibri" w:eastAsia="Times New Roman" w:hAnsi="Calibri" w:cs="Calibri"/>
                <w:sz w:val="20"/>
                <w:szCs w:val="20"/>
              </w:rPr>
              <w:t>Yrs</w:t>
            </w:r>
            <w:proofErr w:type="spellEnd"/>
          </w:p>
        </w:tc>
        <w:tc>
          <w:tcPr>
            <w:tcW w:w="960" w:type="dxa"/>
            <w:tcBorders>
              <w:top w:val="nil"/>
              <w:left w:val="nil"/>
              <w:bottom w:val="nil"/>
              <w:right w:val="single" w:sz="4" w:space="0" w:color="auto"/>
            </w:tcBorders>
            <w:shd w:val="clear" w:color="auto" w:fill="auto"/>
            <w:noWrap/>
            <w:vAlign w:val="center"/>
            <w:hideMark/>
          </w:tcPr>
          <w:p w14:paraId="34F89AAB" w14:textId="77777777" w:rsidR="002C61EA" w:rsidRPr="002C61EA" w:rsidRDefault="002C61EA" w:rsidP="002C61EA">
            <w:pPr>
              <w:jc w:val="right"/>
              <w:rPr>
                <w:rFonts w:ascii="Calibri" w:eastAsia="Times New Roman" w:hAnsi="Calibri" w:cs="Calibri"/>
                <w:sz w:val="20"/>
                <w:szCs w:val="20"/>
              </w:rPr>
            </w:pPr>
            <w:r w:rsidRPr="002C61EA">
              <w:rPr>
                <w:rFonts w:ascii="Calibri" w:eastAsia="Times New Roman" w:hAnsi="Calibri" w:cs="Calibri"/>
                <w:sz w:val="20"/>
                <w:szCs w:val="20"/>
              </w:rPr>
              <w:t xml:space="preserve">5.39 </w:t>
            </w:r>
            <w:proofErr w:type="spellStart"/>
            <w:r w:rsidRPr="002C61EA">
              <w:rPr>
                <w:rFonts w:ascii="Calibri" w:eastAsia="Times New Roman" w:hAnsi="Calibri" w:cs="Calibri"/>
                <w:sz w:val="20"/>
                <w:szCs w:val="20"/>
              </w:rPr>
              <w:t>Yrs</w:t>
            </w:r>
            <w:proofErr w:type="spellEnd"/>
          </w:p>
        </w:tc>
        <w:tc>
          <w:tcPr>
            <w:tcW w:w="1020" w:type="dxa"/>
            <w:tcBorders>
              <w:top w:val="nil"/>
              <w:left w:val="nil"/>
              <w:bottom w:val="nil"/>
              <w:right w:val="single" w:sz="4" w:space="0" w:color="auto"/>
            </w:tcBorders>
            <w:shd w:val="clear" w:color="auto" w:fill="auto"/>
            <w:noWrap/>
            <w:vAlign w:val="center"/>
            <w:hideMark/>
          </w:tcPr>
          <w:p w14:paraId="4052728E" w14:textId="77777777" w:rsidR="002C61EA" w:rsidRPr="002C61EA" w:rsidRDefault="002C61EA" w:rsidP="002C61EA">
            <w:pPr>
              <w:jc w:val="center"/>
              <w:rPr>
                <w:rFonts w:ascii="Calibri" w:eastAsia="Times New Roman" w:hAnsi="Calibri" w:cs="Calibri"/>
                <w:sz w:val="20"/>
                <w:szCs w:val="20"/>
              </w:rPr>
            </w:pPr>
            <w:r w:rsidRPr="002C61EA">
              <w:rPr>
                <w:rFonts w:ascii="Calibri" w:eastAsia="Times New Roman" w:hAnsi="Calibri" w:cs="Calibri"/>
                <w:sz w:val="20"/>
                <w:szCs w:val="20"/>
              </w:rPr>
              <w:t xml:space="preserve">3.26 </w:t>
            </w:r>
            <w:proofErr w:type="spellStart"/>
            <w:r w:rsidRPr="002C61EA">
              <w:rPr>
                <w:rFonts w:ascii="Calibri" w:eastAsia="Times New Roman" w:hAnsi="Calibri" w:cs="Calibri"/>
                <w:sz w:val="20"/>
                <w:szCs w:val="20"/>
              </w:rPr>
              <w:t>Yrs</w:t>
            </w:r>
            <w:proofErr w:type="spellEnd"/>
          </w:p>
        </w:tc>
      </w:tr>
      <w:tr w:rsidR="002C61EA" w:rsidRPr="002C61EA" w14:paraId="68A2AD46" w14:textId="77777777" w:rsidTr="006507A9">
        <w:trPr>
          <w:trHeight w:val="51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72FE5566" w14:textId="77777777" w:rsidR="002C61EA" w:rsidRPr="002C61EA" w:rsidRDefault="002C61EA" w:rsidP="002C61EA">
            <w:pPr>
              <w:rPr>
                <w:rFonts w:ascii="Calibri" w:eastAsia="Times New Roman" w:hAnsi="Calibri" w:cs="Calibri"/>
                <w:sz w:val="20"/>
                <w:szCs w:val="20"/>
              </w:rPr>
            </w:pPr>
            <w:r w:rsidRPr="002C61EA">
              <w:rPr>
                <w:rFonts w:ascii="Calibri" w:eastAsia="Times New Roman" w:hAnsi="Calibri" w:cs="Calibri"/>
                <w:sz w:val="20"/>
                <w:szCs w:val="20"/>
              </w:rPr>
              <w:t>Average Coupon</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221F1940" w14:textId="77777777" w:rsidR="002C61EA" w:rsidRPr="002C61EA" w:rsidRDefault="002C61EA" w:rsidP="002C61EA">
            <w:pPr>
              <w:jc w:val="right"/>
              <w:rPr>
                <w:rFonts w:ascii="Calibri" w:eastAsia="Times New Roman" w:hAnsi="Calibri" w:cs="Calibri"/>
                <w:sz w:val="20"/>
                <w:szCs w:val="20"/>
              </w:rPr>
            </w:pPr>
            <w:r w:rsidRPr="002C61EA">
              <w:rPr>
                <w:rFonts w:ascii="Calibri" w:eastAsia="Times New Roman" w:hAnsi="Calibri" w:cs="Calibri"/>
                <w:sz w:val="20"/>
                <w:szCs w:val="20"/>
              </w:rPr>
              <w:t>3.50%</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1E187502" w14:textId="77777777" w:rsidR="002C61EA" w:rsidRPr="002C61EA" w:rsidRDefault="002C61EA" w:rsidP="002C61EA">
            <w:pPr>
              <w:jc w:val="right"/>
              <w:rPr>
                <w:rFonts w:ascii="Calibri" w:eastAsia="Times New Roman" w:hAnsi="Calibri" w:cs="Calibri"/>
                <w:sz w:val="20"/>
                <w:szCs w:val="20"/>
              </w:rPr>
            </w:pPr>
            <w:r w:rsidRPr="002C61EA">
              <w:rPr>
                <w:rFonts w:ascii="Calibri" w:eastAsia="Times New Roman" w:hAnsi="Calibri" w:cs="Calibri"/>
                <w:sz w:val="20"/>
                <w:szCs w:val="20"/>
              </w:rPr>
              <w:t>3.34%</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2B4D8F84" w14:textId="77777777" w:rsidR="002C61EA" w:rsidRPr="002C61EA" w:rsidRDefault="002C61EA" w:rsidP="002C61EA">
            <w:pPr>
              <w:jc w:val="right"/>
              <w:rPr>
                <w:rFonts w:ascii="Calibri" w:eastAsia="Times New Roman" w:hAnsi="Calibri" w:cs="Calibri"/>
                <w:sz w:val="20"/>
                <w:szCs w:val="20"/>
              </w:rPr>
            </w:pPr>
            <w:r w:rsidRPr="002C61EA">
              <w:rPr>
                <w:rFonts w:ascii="Calibri" w:eastAsia="Times New Roman" w:hAnsi="Calibri" w:cs="Calibri"/>
                <w:sz w:val="20"/>
                <w:szCs w:val="20"/>
              </w:rPr>
              <w:t>3.39%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98780DC" w14:textId="77777777" w:rsidR="002C61EA" w:rsidRPr="002C61EA" w:rsidRDefault="002C61EA" w:rsidP="002C61EA">
            <w:pPr>
              <w:jc w:val="right"/>
              <w:rPr>
                <w:rFonts w:ascii="Calibri" w:eastAsia="Times New Roman" w:hAnsi="Calibri" w:cs="Calibri"/>
                <w:sz w:val="20"/>
                <w:szCs w:val="20"/>
              </w:rPr>
            </w:pPr>
            <w:r w:rsidRPr="002C61EA">
              <w:rPr>
                <w:rFonts w:ascii="Calibri" w:eastAsia="Times New Roman" w:hAnsi="Calibri" w:cs="Calibri"/>
                <w:sz w:val="20"/>
                <w:szCs w:val="20"/>
              </w:rPr>
              <w:t>2.67%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E6763D2" w14:textId="77777777" w:rsidR="002C61EA" w:rsidRPr="002C61EA" w:rsidRDefault="002C61EA" w:rsidP="002C61EA">
            <w:pPr>
              <w:jc w:val="right"/>
              <w:rPr>
                <w:rFonts w:ascii="Calibri" w:eastAsia="Times New Roman" w:hAnsi="Calibri" w:cs="Calibri"/>
                <w:sz w:val="20"/>
                <w:szCs w:val="20"/>
              </w:rPr>
            </w:pPr>
            <w:r w:rsidRPr="002C61EA">
              <w:rPr>
                <w:rFonts w:ascii="Calibri" w:eastAsia="Times New Roman" w:hAnsi="Calibri" w:cs="Calibri"/>
                <w:sz w:val="20"/>
                <w:szCs w:val="20"/>
              </w:rPr>
              <w:t>2.07%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F6D3859" w14:textId="77777777" w:rsidR="002C61EA" w:rsidRPr="002C61EA" w:rsidRDefault="002C61EA" w:rsidP="002C61EA">
            <w:pPr>
              <w:jc w:val="right"/>
              <w:rPr>
                <w:rFonts w:ascii="Calibri" w:eastAsia="Times New Roman" w:hAnsi="Calibri" w:cs="Calibri"/>
                <w:sz w:val="20"/>
                <w:szCs w:val="20"/>
              </w:rPr>
            </w:pPr>
            <w:r w:rsidRPr="002C61EA">
              <w:rPr>
                <w:rFonts w:ascii="Calibri" w:eastAsia="Times New Roman" w:hAnsi="Calibri" w:cs="Calibri"/>
                <w:sz w:val="20"/>
                <w:szCs w:val="20"/>
              </w:rPr>
              <w:t>2.07%</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3C1765A1" w14:textId="77777777" w:rsidR="002C61EA" w:rsidRPr="002C61EA" w:rsidRDefault="002C61EA" w:rsidP="002C61EA">
            <w:pPr>
              <w:jc w:val="center"/>
              <w:rPr>
                <w:rFonts w:ascii="Calibri" w:eastAsia="Times New Roman" w:hAnsi="Calibri" w:cs="Calibri"/>
                <w:sz w:val="20"/>
                <w:szCs w:val="20"/>
              </w:rPr>
            </w:pPr>
            <w:r w:rsidRPr="002C61EA">
              <w:rPr>
                <w:rFonts w:ascii="Calibri" w:eastAsia="Times New Roman" w:hAnsi="Calibri" w:cs="Calibri"/>
                <w:sz w:val="20"/>
                <w:szCs w:val="20"/>
              </w:rPr>
              <w:t>2.25%</w:t>
            </w:r>
          </w:p>
        </w:tc>
      </w:tr>
      <w:tr w:rsidR="002C61EA" w:rsidRPr="002C61EA" w14:paraId="15D58F6D" w14:textId="77777777" w:rsidTr="002C61EA">
        <w:trPr>
          <w:trHeight w:val="510"/>
        </w:trPr>
        <w:tc>
          <w:tcPr>
            <w:tcW w:w="1980" w:type="dxa"/>
            <w:tcBorders>
              <w:top w:val="nil"/>
              <w:left w:val="single" w:sz="4" w:space="0" w:color="auto"/>
              <w:bottom w:val="single" w:sz="4" w:space="0" w:color="auto"/>
              <w:right w:val="single" w:sz="4" w:space="0" w:color="auto"/>
            </w:tcBorders>
            <w:shd w:val="clear" w:color="auto" w:fill="auto"/>
            <w:vAlign w:val="bottom"/>
            <w:hideMark/>
          </w:tcPr>
          <w:p w14:paraId="43DE43D3" w14:textId="77777777" w:rsidR="002C61EA" w:rsidRPr="002C61EA" w:rsidRDefault="002C61EA" w:rsidP="002C61EA">
            <w:pPr>
              <w:rPr>
                <w:rFonts w:ascii="Calibri" w:eastAsia="Times New Roman" w:hAnsi="Calibri" w:cs="Calibri"/>
                <w:sz w:val="20"/>
                <w:szCs w:val="20"/>
              </w:rPr>
            </w:pPr>
            <w:r w:rsidRPr="002C61EA">
              <w:rPr>
                <w:rFonts w:ascii="Calibri" w:eastAsia="Times New Roman" w:hAnsi="Calibri" w:cs="Calibri"/>
                <w:sz w:val="20"/>
                <w:szCs w:val="20"/>
              </w:rPr>
              <w:t xml:space="preserve">Total Amount Rate </w:t>
            </w:r>
            <w:proofErr w:type="gramStart"/>
            <w:r w:rsidRPr="002C61EA">
              <w:rPr>
                <w:rFonts w:ascii="Calibri" w:eastAsia="Times New Roman" w:hAnsi="Calibri" w:cs="Calibri"/>
                <w:sz w:val="20"/>
                <w:szCs w:val="20"/>
              </w:rPr>
              <w:t>Of</w:t>
            </w:r>
            <w:proofErr w:type="gramEnd"/>
            <w:r w:rsidRPr="002C61EA">
              <w:rPr>
                <w:rFonts w:ascii="Calibri" w:eastAsia="Times New Roman" w:hAnsi="Calibri" w:cs="Calibri"/>
                <w:sz w:val="20"/>
                <w:szCs w:val="20"/>
              </w:rPr>
              <w:t xml:space="preserve"> Return</w:t>
            </w:r>
          </w:p>
        </w:tc>
        <w:tc>
          <w:tcPr>
            <w:tcW w:w="980" w:type="dxa"/>
            <w:tcBorders>
              <w:top w:val="nil"/>
              <w:left w:val="nil"/>
              <w:bottom w:val="single" w:sz="4" w:space="0" w:color="auto"/>
              <w:right w:val="single" w:sz="4" w:space="0" w:color="auto"/>
            </w:tcBorders>
            <w:shd w:val="clear" w:color="auto" w:fill="auto"/>
            <w:noWrap/>
            <w:vAlign w:val="center"/>
            <w:hideMark/>
          </w:tcPr>
          <w:p w14:paraId="40DCD6FC" w14:textId="77777777" w:rsidR="002C61EA" w:rsidRPr="002C61EA" w:rsidRDefault="002C61EA" w:rsidP="002C61EA">
            <w:pPr>
              <w:jc w:val="right"/>
              <w:rPr>
                <w:rFonts w:ascii="Calibri" w:eastAsia="Times New Roman" w:hAnsi="Calibri" w:cs="Calibri"/>
                <w:sz w:val="20"/>
                <w:szCs w:val="20"/>
              </w:rPr>
            </w:pPr>
            <w:r w:rsidRPr="002C61EA">
              <w:rPr>
                <w:rFonts w:ascii="Calibri" w:eastAsia="Times New Roman" w:hAnsi="Calibri" w:cs="Calibri"/>
                <w:sz w:val="20"/>
                <w:szCs w:val="20"/>
              </w:rPr>
              <w:t>6.39%</w:t>
            </w:r>
          </w:p>
        </w:tc>
        <w:tc>
          <w:tcPr>
            <w:tcW w:w="980" w:type="dxa"/>
            <w:tcBorders>
              <w:top w:val="nil"/>
              <w:left w:val="nil"/>
              <w:bottom w:val="single" w:sz="4" w:space="0" w:color="auto"/>
              <w:right w:val="single" w:sz="4" w:space="0" w:color="auto"/>
            </w:tcBorders>
            <w:shd w:val="clear" w:color="auto" w:fill="auto"/>
            <w:noWrap/>
            <w:vAlign w:val="center"/>
            <w:hideMark/>
          </w:tcPr>
          <w:p w14:paraId="73305983" w14:textId="77777777" w:rsidR="002C61EA" w:rsidRPr="002C61EA" w:rsidRDefault="002C61EA" w:rsidP="002C61EA">
            <w:pPr>
              <w:jc w:val="right"/>
              <w:rPr>
                <w:rFonts w:ascii="Calibri" w:eastAsia="Times New Roman" w:hAnsi="Calibri" w:cs="Calibri"/>
                <w:sz w:val="20"/>
                <w:szCs w:val="20"/>
              </w:rPr>
            </w:pPr>
            <w:r w:rsidRPr="002C61EA">
              <w:rPr>
                <w:rFonts w:ascii="Calibri" w:eastAsia="Times New Roman" w:hAnsi="Calibri" w:cs="Calibri"/>
                <w:sz w:val="20"/>
                <w:szCs w:val="20"/>
              </w:rPr>
              <w:t>0.63%</w:t>
            </w:r>
          </w:p>
        </w:tc>
        <w:tc>
          <w:tcPr>
            <w:tcW w:w="980" w:type="dxa"/>
            <w:tcBorders>
              <w:top w:val="nil"/>
              <w:left w:val="nil"/>
              <w:bottom w:val="single" w:sz="4" w:space="0" w:color="auto"/>
              <w:right w:val="single" w:sz="4" w:space="0" w:color="auto"/>
            </w:tcBorders>
            <w:shd w:val="clear" w:color="auto" w:fill="auto"/>
            <w:noWrap/>
            <w:vAlign w:val="center"/>
            <w:hideMark/>
          </w:tcPr>
          <w:p w14:paraId="20E6D9DF" w14:textId="77777777" w:rsidR="002C61EA" w:rsidRPr="002C61EA" w:rsidRDefault="002C61EA" w:rsidP="002C61EA">
            <w:pPr>
              <w:jc w:val="right"/>
              <w:rPr>
                <w:rFonts w:ascii="Calibri" w:eastAsia="Times New Roman" w:hAnsi="Calibri" w:cs="Calibri"/>
                <w:sz w:val="20"/>
                <w:szCs w:val="20"/>
              </w:rPr>
            </w:pPr>
            <w:r w:rsidRPr="002C61EA">
              <w:rPr>
                <w:rFonts w:ascii="Calibri" w:eastAsia="Times New Roman" w:hAnsi="Calibri" w:cs="Calibri"/>
                <w:sz w:val="20"/>
                <w:szCs w:val="20"/>
              </w:rPr>
              <w:t>6.98%</w:t>
            </w:r>
          </w:p>
        </w:tc>
        <w:tc>
          <w:tcPr>
            <w:tcW w:w="960" w:type="dxa"/>
            <w:tcBorders>
              <w:top w:val="nil"/>
              <w:left w:val="nil"/>
              <w:bottom w:val="single" w:sz="4" w:space="0" w:color="auto"/>
              <w:right w:val="single" w:sz="4" w:space="0" w:color="auto"/>
            </w:tcBorders>
            <w:shd w:val="clear" w:color="auto" w:fill="auto"/>
            <w:noWrap/>
            <w:vAlign w:val="center"/>
            <w:hideMark/>
          </w:tcPr>
          <w:p w14:paraId="53410D69" w14:textId="77777777" w:rsidR="002C61EA" w:rsidRPr="002C61EA" w:rsidRDefault="002C61EA" w:rsidP="002C61EA">
            <w:pPr>
              <w:jc w:val="right"/>
              <w:rPr>
                <w:rFonts w:ascii="Calibri" w:eastAsia="Times New Roman" w:hAnsi="Calibri" w:cs="Calibri"/>
                <w:sz w:val="20"/>
                <w:szCs w:val="20"/>
              </w:rPr>
            </w:pPr>
            <w:r w:rsidRPr="002C61EA">
              <w:rPr>
                <w:rFonts w:ascii="Calibri" w:eastAsia="Times New Roman" w:hAnsi="Calibri" w:cs="Calibri"/>
                <w:sz w:val="20"/>
                <w:szCs w:val="20"/>
              </w:rPr>
              <w:t>3.77%</w:t>
            </w:r>
          </w:p>
        </w:tc>
        <w:tc>
          <w:tcPr>
            <w:tcW w:w="960" w:type="dxa"/>
            <w:tcBorders>
              <w:top w:val="nil"/>
              <w:left w:val="nil"/>
              <w:bottom w:val="single" w:sz="4" w:space="0" w:color="auto"/>
              <w:right w:val="single" w:sz="4" w:space="0" w:color="auto"/>
            </w:tcBorders>
            <w:shd w:val="clear" w:color="auto" w:fill="auto"/>
            <w:noWrap/>
            <w:vAlign w:val="center"/>
            <w:hideMark/>
          </w:tcPr>
          <w:p w14:paraId="01AC6757" w14:textId="77777777" w:rsidR="002C61EA" w:rsidRPr="002C61EA" w:rsidRDefault="002C61EA" w:rsidP="002C61EA">
            <w:pPr>
              <w:jc w:val="right"/>
              <w:rPr>
                <w:rFonts w:ascii="Calibri" w:eastAsia="Times New Roman" w:hAnsi="Calibri" w:cs="Calibri"/>
                <w:sz w:val="20"/>
                <w:szCs w:val="20"/>
              </w:rPr>
            </w:pPr>
            <w:r w:rsidRPr="002C61EA">
              <w:rPr>
                <w:rFonts w:ascii="Calibri" w:eastAsia="Times New Roman" w:hAnsi="Calibri" w:cs="Calibri"/>
                <w:sz w:val="20"/>
                <w:szCs w:val="20"/>
              </w:rPr>
              <w:t>13.13%</w:t>
            </w:r>
          </w:p>
        </w:tc>
        <w:tc>
          <w:tcPr>
            <w:tcW w:w="960" w:type="dxa"/>
            <w:tcBorders>
              <w:top w:val="nil"/>
              <w:left w:val="nil"/>
              <w:bottom w:val="single" w:sz="4" w:space="0" w:color="auto"/>
              <w:right w:val="single" w:sz="4" w:space="0" w:color="auto"/>
            </w:tcBorders>
            <w:shd w:val="clear" w:color="auto" w:fill="auto"/>
            <w:noWrap/>
            <w:vAlign w:val="center"/>
            <w:hideMark/>
          </w:tcPr>
          <w:p w14:paraId="4E052130" w14:textId="77777777" w:rsidR="002C61EA" w:rsidRPr="002C61EA" w:rsidRDefault="002C61EA" w:rsidP="002C61EA">
            <w:pPr>
              <w:jc w:val="right"/>
              <w:rPr>
                <w:rFonts w:ascii="Calibri" w:eastAsia="Times New Roman" w:hAnsi="Calibri" w:cs="Calibri"/>
                <w:sz w:val="20"/>
                <w:szCs w:val="20"/>
              </w:rPr>
            </w:pPr>
            <w:r w:rsidRPr="002C61EA">
              <w:rPr>
                <w:rFonts w:ascii="Calibri" w:eastAsia="Times New Roman" w:hAnsi="Calibri" w:cs="Calibri"/>
                <w:sz w:val="20"/>
                <w:szCs w:val="20"/>
              </w:rPr>
              <w:t>-7.71%</w:t>
            </w:r>
          </w:p>
        </w:tc>
        <w:tc>
          <w:tcPr>
            <w:tcW w:w="1020" w:type="dxa"/>
            <w:tcBorders>
              <w:top w:val="nil"/>
              <w:left w:val="nil"/>
              <w:bottom w:val="single" w:sz="4" w:space="0" w:color="auto"/>
              <w:right w:val="single" w:sz="4" w:space="0" w:color="auto"/>
            </w:tcBorders>
            <w:shd w:val="clear" w:color="auto" w:fill="auto"/>
            <w:noWrap/>
            <w:vAlign w:val="center"/>
            <w:hideMark/>
          </w:tcPr>
          <w:p w14:paraId="35D70B34" w14:textId="77777777" w:rsidR="002C61EA" w:rsidRPr="002C61EA" w:rsidRDefault="002C61EA" w:rsidP="002C61EA">
            <w:pPr>
              <w:jc w:val="center"/>
              <w:rPr>
                <w:rFonts w:ascii="Calibri" w:eastAsia="Times New Roman" w:hAnsi="Calibri" w:cs="Calibri"/>
                <w:sz w:val="20"/>
                <w:szCs w:val="20"/>
              </w:rPr>
            </w:pPr>
            <w:r w:rsidRPr="002C61EA">
              <w:rPr>
                <w:rFonts w:ascii="Calibri" w:eastAsia="Times New Roman" w:hAnsi="Calibri" w:cs="Calibri"/>
                <w:sz w:val="20"/>
                <w:szCs w:val="20"/>
              </w:rPr>
              <w:t>4.86%</w:t>
            </w:r>
          </w:p>
        </w:tc>
      </w:tr>
      <w:tr w:rsidR="002C61EA" w:rsidRPr="002C61EA" w14:paraId="3341DA26" w14:textId="77777777" w:rsidTr="002C61EA">
        <w:trPr>
          <w:trHeight w:val="255"/>
        </w:trPr>
        <w:tc>
          <w:tcPr>
            <w:tcW w:w="1980" w:type="dxa"/>
            <w:tcBorders>
              <w:top w:val="nil"/>
              <w:left w:val="nil"/>
              <w:bottom w:val="nil"/>
              <w:right w:val="nil"/>
            </w:tcBorders>
            <w:shd w:val="clear" w:color="auto" w:fill="auto"/>
            <w:noWrap/>
            <w:vAlign w:val="bottom"/>
            <w:hideMark/>
          </w:tcPr>
          <w:p w14:paraId="3CEC11A7" w14:textId="77777777" w:rsidR="002C61EA" w:rsidRPr="002C61EA" w:rsidRDefault="002C61EA" w:rsidP="002C61EA">
            <w:pPr>
              <w:rPr>
                <w:rFonts w:ascii="Calibri" w:eastAsia="Times New Roman" w:hAnsi="Calibri" w:cs="Calibri"/>
                <w:sz w:val="20"/>
                <w:szCs w:val="20"/>
              </w:rPr>
            </w:pPr>
            <w:r w:rsidRPr="002C61EA">
              <w:rPr>
                <w:rFonts w:ascii="Calibri" w:eastAsia="Times New Roman" w:hAnsi="Calibri" w:cs="Calibri"/>
                <w:sz w:val="20"/>
                <w:szCs w:val="20"/>
              </w:rPr>
              <w:t>* In $ Millions</w:t>
            </w:r>
          </w:p>
        </w:tc>
        <w:tc>
          <w:tcPr>
            <w:tcW w:w="980" w:type="dxa"/>
            <w:tcBorders>
              <w:top w:val="nil"/>
              <w:left w:val="nil"/>
              <w:bottom w:val="nil"/>
              <w:right w:val="nil"/>
            </w:tcBorders>
            <w:shd w:val="clear" w:color="auto" w:fill="auto"/>
            <w:noWrap/>
            <w:vAlign w:val="bottom"/>
            <w:hideMark/>
          </w:tcPr>
          <w:p w14:paraId="476E1154" w14:textId="77777777" w:rsidR="002C61EA" w:rsidRPr="002C61EA" w:rsidRDefault="002C61EA" w:rsidP="002C61EA">
            <w:pPr>
              <w:rPr>
                <w:rFonts w:ascii="Calibri" w:eastAsia="Times New Roman" w:hAnsi="Calibri" w:cs="Calibri"/>
                <w:sz w:val="20"/>
                <w:szCs w:val="20"/>
              </w:rPr>
            </w:pPr>
          </w:p>
        </w:tc>
        <w:tc>
          <w:tcPr>
            <w:tcW w:w="980" w:type="dxa"/>
            <w:tcBorders>
              <w:top w:val="nil"/>
              <w:left w:val="nil"/>
              <w:bottom w:val="nil"/>
              <w:right w:val="nil"/>
            </w:tcBorders>
            <w:shd w:val="clear" w:color="auto" w:fill="auto"/>
            <w:noWrap/>
            <w:vAlign w:val="bottom"/>
            <w:hideMark/>
          </w:tcPr>
          <w:p w14:paraId="649B9F4D" w14:textId="77777777" w:rsidR="002C61EA" w:rsidRPr="002C61EA" w:rsidRDefault="002C61EA" w:rsidP="002C61EA">
            <w:pPr>
              <w:rPr>
                <w:rFonts w:ascii="Times New Roman" w:eastAsia="Times New Roman" w:hAnsi="Times New Roman" w:cs="Times New Roman"/>
                <w:sz w:val="20"/>
                <w:szCs w:val="20"/>
              </w:rPr>
            </w:pPr>
          </w:p>
        </w:tc>
        <w:tc>
          <w:tcPr>
            <w:tcW w:w="980" w:type="dxa"/>
            <w:tcBorders>
              <w:top w:val="nil"/>
              <w:left w:val="nil"/>
              <w:bottom w:val="nil"/>
              <w:right w:val="nil"/>
            </w:tcBorders>
            <w:shd w:val="clear" w:color="auto" w:fill="auto"/>
            <w:noWrap/>
            <w:vAlign w:val="bottom"/>
            <w:hideMark/>
          </w:tcPr>
          <w:p w14:paraId="413B3A5E" w14:textId="77777777" w:rsidR="002C61EA" w:rsidRPr="002C61EA" w:rsidRDefault="002C61EA" w:rsidP="002C61EA">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83B097C" w14:textId="77777777" w:rsidR="002C61EA" w:rsidRPr="002C61EA" w:rsidRDefault="002C61EA" w:rsidP="002C61EA">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BE78BA7" w14:textId="77777777" w:rsidR="002C61EA" w:rsidRPr="002C61EA" w:rsidRDefault="002C61EA" w:rsidP="002C61EA">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CE54295" w14:textId="77777777" w:rsidR="002C61EA" w:rsidRPr="002C61EA" w:rsidRDefault="002C61EA" w:rsidP="002C61EA">
            <w:pPr>
              <w:rPr>
                <w:rFonts w:ascii="Times New Roman" w:eastAsia="Times New Roman" w:hAnsi="Times New Roman" w:cs="Times New Roman"/>
                <w:sz w:val="20"/>
                <w:szCs w:val="20"/>
              </w:rPr>
            </w:pPr>
          </w:p>
        </w:tc>
        <w:tc>
          <w:tcPr>
            <w:tcW w:w="1020" w:type="dxa"/>
            <w:tcBorders>
              <w:top w:val="nil"/>
              <w:left w:val="nil"/>
              <w:bottom w:val="nil"/>
              <w:right w:val="nil"/>
            </w:tcBorders>
            <w:shd w:val="clear" w:color="auto" w:fill="auto"/>
            <w:noWrap/>
            <w:vAlign w:val="bottom"/>
            <w:hideMark/>
          </w:tcPr>
          <w:p w14:paraId="323841D2" w14:textId="77777777" w:rsidR="002C61EA" w:rsidRPr="002C61EA" w:rsidRDefault="002C61EA" w:rsidP="002C61EA">
            <w:pPr>
              <w:rPr>
                <w:rFonts w:ascii="Times New Roman" w:eastAsia="Times New Roman" w:hAnsi="Times New Roman" w:cs="Times New Roman"/>
                <w:sz w:val="20"/>
                <w:szCs w:val="20"/>
              </w:rPr>
            </w:pPr>
          </w:p>
        </w:tc>
      </w:tr>
    </w:tbl>
    <w:p w14:paraId="796B239F" w14:textId="77777777" w:rsidR="00D609B3" w:rsidRDefault="00D609B3" w:rsidP="00D67EEB">
      <w:pPr>
        <w:rPr>
          <w:sz w:val="24"/>
          <w:szCs w:val="24"/>
        </w:rPr>
      </w:pPr>
    </w:p>
    <w:p w14:paraId="317F3E5F" w14:textId="77777777" w:rsidR="006739E3" w:rsidRDefault="006739E3" w:rsidP="00D67EEB">
      <w:pPr>
        <w:rPr>
          <w:sz w:val="24"/>
          <w:szCs w:val="24"/>
        </w:rPr>
      </w:pPr>
    </w:p>
    <w:p w14:paraId="4159D639" w14:textId="77777777" w:rsidR="006739E3" w:rsidRDefault="006739E3" w:rsidP="00D67EEB">
      <w:pPr>
        <w:rPr>
          <w:sz w:val="24"/>
          <w:szCs w:val="24"/>
        </w:rPr>
      </w:pPr>
    </w:p>
    <w:p w14:paraId="32013B31" w14:textId="77777777" w:rsidR="006739E3" w:rsidRDefault="006739E3" w:rsidP="00D67EEB">
      <w:pPr>
        <w:rPr>
          <w:sz w:val="24"/>
          <w:szCs w:val="24"/>
        </w:rPr>
      </w:pPr>
    </w:p>
    <w:p w14:paraId="491EA75D" w14:textId="6D296D15" w:rsidR="00905E0F" w:rsidRDefault="00905E0F">
      <w:pPr>
        <w:rPr>
          <w:sz w:val="24"/>
          <w:szCs w:val="24"/>
        </w:rPr>
      </w:pPr>
      <w:r>
        <w:rPr>
          <w:sz w:val="24"/>
          <w:szCs w:val="24"/>
        </w:rPr>
        <w:br w:type="page"/>
      </w:r>
    </w:p>
    <w:p w14:paraId="1E4280ED" w14:textId="77777777" w:rsidR="00D67EEB" w:rsidRDefault="00D67EEB" w:rsidP="00D67EEB">
      <w:pPr>
        <w:rPr>
          <w:b/>
          <w:sz w:val="32"/>
          <w:szCs w:val="32"/>
        </w:rPr>
      </w:pPr>
      <w:r w:rsidRPr="00F14CED">
        <w:rPr>
          <w:b/>
          <w:sz w:val="32"/>
          <w:szCs w:val="32"/>
        </w:rPr>
        <w:lastRenderedPageBreak/>
        <w:t>Asset Allocation Table</w:t>
      </w:r>
    </w:p>
    <w:tbl>
      <w:tblPr>
        <w:tblW w:w="9350" w:type="dxa"/>
        <w:tblLayout w:type="fixed"/>
        <w:tblLook w:val="04A0" w:firstRow="1" w:lastRow="0" w:firstColumn="1" w:lastColumn="0" w:noHBand="0" w:noVBand="1"/>
      </w:tblPr>
      <w:tblGrid>
        <w:gridCol w:w="3505"/>
        <w:gridCol w:w="947"/>
        <w:gridCol w:w="980"/>
        <w:gridCol w:w="979"/>
        <w:gridCol w:w="980"/>
        <w:gridCol w:w="979"/>
        <w:gridCol w:w="980"/>
      </w:tblGrid>
      <w:tr w:rsidR="00490C15" w:rsidRPr="00490C15" w14:paraId="130A5D27" w14:textId="77777777" w:rsidTr="006507A9">
        <w:trPr>
          <w:trHeight w:val="255"/>
        </w:trPr>
        <w:tc>
          <w:tcPr>
            <w:tcW w:w="35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E0326" w14:textId="77777777" w:rsidR="00490C15" w:rsidRPr="00490C15" w:rsidRDefault="00490C15" w:rsidP="00490C15">
            <w:pPr>
              <w:rPr>
                <w:rFonts w:ascii="Arial" w:eastAsia="Times New Roman" w:hAnsi="Arial" w:cs="Arial"/>
                <w:b/>
                <w:bCs/>
                <w:color w:val="000000"/>
                <w:sz w:val="20"/>
                <w:szCs w:val="20"/>
              </w:rPr>
            </w:pPr>
            <w:r w:rsidRPr="00490C15">
              <w:rPr>
                <w:rFonts w:ascii="Arial" w:eastAsia="Times New Roman" w:hAnsi="Arial" w:cs="Arial"/>
                <w:b/>
                <w:bCs/>
                <w:color w:val="000000"/>
                <w:sz w:val="20"/>
                <w:szCs w:val="20"/>
              </w:rPr>
              <w:t> </w:t>
            </w:r>
          </w:p>
        </w:tc>
        <w:tc>
          <w:tcPr>
            <w:tcW w:w="947" w:type="dxa"/>
            <w:tcBorders>
              <w:top w:val="single" w:sz="4" w:space="0" w:color="auto"/>
              <w:left w:val="nil"/>
              <w:bottom w:val="single" w:sz="4" w:space="0" w:color="auto"/>
              <w:right w:val="single" w:sz="4" w:space="0" w:color="auto"/>
            </w:tcBorders>
            <w:shd w:val="clear" w:color="auto" w:fill="auto"/>
            <w:noWrap/>
            <w:vAlign w:val="bottom"/>
            <w:hideMark/>
          </w:tcPr>
          <w:p w14:paraId="6EDBC21C" w14:textId="77777777" w:rsidR="00490C15" w:rsidRPr="00490C15" w:rsidRDefault="00490C15" w:rsidP="00490C15">
            <w:pPr>
              <w:jc w:val="right"/>
              <w:rPr>
                <w:rFonts w:ascii="Arial" w:eastAsia="Times New Roman" w:hAnsi="Arial" w:cs="Arial"/>
                <w:b/>
                <w:bCs/>
                <w:sz w:val="20"/>
                <w:szCs w:val="20"/>
              </w:rPr>
            </w:pPr>
            <w:r w:rsidRPr="00490C15">
              <w:rPr>
                <w:rFonts w:ascii="Arial" w:eastAsia="Times New Roman" w:hAnsi="Arial" w:cs="Arial"/>
                <w:b/>
                <w:bCs/>
                <w:sz w:val="20"/>
                <w:szCs w:val="20"/>
              </w:rPr>
              <w:t>6/30/18</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7FB2AF5E" w14:textId="77777777" w:rsidR="00490C15" w:rsidRPr="00490C15" w:rsidRDefault="00490C15" w:rsidP="00490C15">
            <w:pPr>
              <w:jc w:val="right"/>
              <w:rPr>
                <w:rFonts w:ascii="Arial" w:eastAsia="Times New Roman" w:hAnsi="Arial" w:cs="Arial"/>
                <w:b/>
                <w:bCs/>
                <w:sz w:val="20"/>
                <w:szCs w:val="20"/>
              </w:rPr>
            </w:pPr>
            <w:r w:rsidRPr="00490C15">
              <w:rPr>
                <w:rFonts w:ascii="Arial" w:eastAsia="Times New Roman" w:hAnsi="Arial" w:cs="Arial"/>
                <w:b/>
                <w:bCs/>
                <w:sz w:val="20"/>
                <w:szCs w:val="20"/>
              </w:rPr>
              <w:t>6/30/19</w:t>
            </w:r>
          </w:p>
        </w:tc>
        <w:tc>
          <w:tcPr>
            <w:tcW w:w="979" w:type="dxa"/>
            <w:tcBorders>
              <w:top w:val="single" w:sz="4" w:space="0" w:color="auto"/>
              <w:left w:val="nil"/>
              <w:bottom w:val="single" w:sz="4" w:space="0" w:color="auto"/>
              <w:right w:val="single" w:sz="4" w:space="0" w:color="auto"/>
            </w:tcBorders>
            <w:shd w:val="clear" w:color="auto" w:fill="auto"/>
            <w:noWrap/>
            <w:vAlign w:val="center"/>
            <w:hideMark/>
          </w:tcPr>
          <w:p w14:paraId="04FEAB74" w14:textId="242792F0" w:rsidR="00490C15" w:rsidRPr="00490C15" w:rsidRDefault="00490C15" w:rsidP="00490C15">
            <w:pPr>
              <w:jc w:val="right"/>
              <w:rPr>
                <w:rFonts w:ascii="Arial" w:eastAsia="Times New Roman" w:hAnsi="Arial" w:cs="Arial"/>
                <w:b/>
                <w:bCs/>
                <w:sz w:val="20"/>
                <w:szCs w:val="20"/>
              </w:rPr>
            </w:pPr>
            <w:r w:rsidRPr="00490C15">
              <w:rPr>
                <w:rFonts w:ascii="Arial" w:eastAsia="Times New Roman" w:hAnsi="Arial" w:cs="Arial"/>
                <w:b/>
                <w:bCs/>
                <w:sz w:val="20"/>
                <w:szCs w:val="20"/>
              </w:rPr>
              <w:t>6/30/20</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39042FD2" w14:textId="1703610A" w:rsidR="00490C15" w:rsidRPr="00490C15" w:rsidRDefault="00490C15" w:rsidP="006507A9">
            <w:pPr>
              <w:rPr>
                <w:rFonts w:ascii="Arial" w:eastAsia="Times New Roman" w:hAnsi="Arial" w:cs="Arial"/>
                <w:b/>
                <w:bCs/>
                <w:sz w:val="20"/>
                <w:szCs w:val="20"/>
              </w:rPr>
            </w:pPr>
            <w:r w:rsidRPr="00490C15">
              <w:rPr>
                <w:rFonts w:ascii="Arial" w:eastAsia="Times New Roman" w:hAnsi="Arial" w:cs="Arial"/>
                <w:b/>
                <w:bCs/>
                <w:sz w:val="20"/>
                <w:szCs w:val="20"/>
              </w:rPr>
              <w:t>6/30</w:t>
            </w:r>
            <w:r>
              <w:rPr>
                <w:rFonts w:ascii="Arial" w:eastAsia="Times New Roman" w:hAnsi="Arial" w:cs="Arial"/>
                <w:b/>
                <w:bCs/>
                <w:sz w:val="20"/>
                <w:szCs w:val="20"/>
              </w:rPr>
              <w:t>/</w:t>
            </w:r>
            <w:r w:rsidRPr="00490C15">
              <w:rPr>
                <w:rFonts w:ascii="Arial" w:eastAsia="Times New Roman" w:hAnsi="Arial" w:cs="Arial"/>
                <w:b/>
                <w:bCs/>
                <w:sz w:val="20"/>
                <w:szCs w:val="20"/>
              </w:rPr>
              <w:t>2</w:t>
            </w:r>
            <w:r>
              <w:rPr>
                <w:rFonts w:ascii="Arial" w:eastAsia="Times New Roman" w:hAnsi="Arial" w:cs="Arial"/>
                <w:b/>
                <w:bCs/>
                <w:sz w:val="20"/>
                <w:szCs w:val="20"/>
              </w:rPr>
              <w:t>1</w:t>
            </w:r>
          </w:p>
        </w:tc>
        <w:tc>
          <w:tcPr>
            <w:tcW w:w="979" w:type="dxa"/>
            <w:tcBorders>
              <w:top w:val="single" w:sz="4" w:space="0" w:color="auto"/>
              <w:left w:val="nil"/>
              <w:bottom w:val="single" w:sz="4" w:space="0" w:color="auto"/>
              <w:right w:val="single" w:sz="4" w:space="0" w:color="auto"/>
            </w:tcBorders>
            <w:shd w:val="clear" w:color="auto" w:fill="auto"/>
            <w:noWrap/>
            <w:vAlign w:val="center"/>
            <w:hideMark/>
          </w:tcPr>
          <w:p w14:paraId="70AB6B58" w14:textId="34B084D3" w:rsidR="00490C15" w:rsidRPr="00490C15" w:rsidRDefault="00490C15" w:rsidP="00490C15">
            <w:pPr>
              <w:jc w:val="right"/>
              <w:rPr>
                <w:rFonts w:ascii="Arial" w:eastAsia="Times New Roman" w:hAnsi="Arial" w:cs="Arial"/>
                <w:b/>
                <w:bCs/>
                <w:sz w:val="20"/>
                <w:szCs w:val="20"/>
              </w:rPr>
            </w:pPr>
            <w:r w:rsidRPr="00490C15">
              <w:rPr>
                <w:rFonts w:ascii="Arial" w:eastAsia="Times New Roman" w:hAnsi="Arial" w:cs="Arial"/>
                <w:b/>
                <w:bCs/>
                <w:sz w:val="20"/>
                <w:szCs w:val="20"/>
              </w:rPr>
              <w:t>6/30/22</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7B4209EC" w14:textId="3D3E11F2" w:rsidR="00490C15" w:rsidRPr="00490C15" w:rsidRDefault="00490C15" w:rsidP="00490C15">
            <w:pPr>
              <w:jc w:val="right"/>
              <w:rPr>
                <w:rFonts w:ascii="Arial" w:eastAsia="Times New Roman" w:hAnsi="Arial" w:cs="Arial"/>
                <w:b/>
                <w:bCs/>
                <w:sz w:val="20"/>
                <w:szCs w:val="20"/>
              </w:rPr>
            </w:pPr>
            <w:r w:rsidRPr="00490C15">
              <w:rPr>
                <w:rFonts w:ascii="Arial" w:eastAsia="Times New Roman" w:hAnsi="Arial" w:cs="Arial"/>
                <w:b/>
                <w:bCs/>
                <w:sz w:val="20"/>
                <w:szCs w:val="20"/>
              </w:rPr>
              <w:t>6/30/23</w:t>
            </w:r>
          </w:p>
        </w:tc>
      </w:tr>
      <w:tr w:rsidR="00490C15" w:rsidRPr="00490C15" w14:paraId="2D6BE4EE" w14:textId="77777777" w:rsidTr="00490C15">
        <w:trPr>
          <w:trHeight w:val="255"/>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687BDE05" w14:textId="77777777" w:rsidR="00490C15" w:rsidRPr="00490C15" w:rsidRDefault="00490C15" w:rsidP="00490C15">
            <w:pPr>
              <w:rPr>
                <w:rFonts w:ascii="Arial" w:eastAsia="Times New Roman" w:hAnsi="Arial" w:cs="Arial"/>
                <w:sz w:val="20"/>
                <w:szCs w:val="20"/>
              </w:rPr>
            </w:pPr>
            <w:r w:rsidRPr="00490C15">
              <w:rPr>
                <w:rFonts w:ascii="Arial" w:eastAsia="Times New Roman" w:hAnsi="Arial" w:cs="Arial"/>
                <w:sz w:val="20"/>
                <w:szCs w:val="20"/>
              </w:rPr>
              <w:t>Short-Term Funds</w:t>
            </w:r>
          </w:p>
        </w:tc>
        <w:tc>
          <w:tcPr>
            <w:tcW w:w="947" w:type="dxa"/>
            <w:tcBorders>
              <w:top w:val="nil"/>
              <w:left w:val="nil"/>
              <w:bottom w:val="single" w:sz="4" w:space="0" w:color="auto"/>
              <w:right w:val="single" w:sz="4" w:space="0" w:color="auto"/>
            </w:tcBorders>
            <w:shd w:val="clear" w:color="auto" w:fill="auto"/>
            <w:noWrap/>
            <w:vAlign w:val="bottom"/>
            <w:hideMark/>
          </w:tcPr>
          <w:p w14:paraId="73014306" w14:textId="77777777" w:rsidR="00490C15" w:rsidRPr="00490C15" w:rsidRDefault="00490C15" w:rsidP="00490C15">
            <w:pPr>
              <w:jc w:val="right"/>
              <w:rPr>
                <w:rFonts w:ascii="Arial" w:eastAsia="Times New Roman" w:hAnsi="Arial" w:cs="Arial"/>
                <w:sz w:val="20"/>
                <w:szCs w:val="20"/>
              </w:rPr>
            </w:pPr>
            <w:r w:rsidRPr="00490C15">
              <w:rPr>
                <w:rFonts w:ascii="Arial" w:eastAsia="Times New Roman" w:hAnsi="Arial" w:cs="Arial"/>
                <w:sz w:val="20"/>
                <w:szCs w:val="20"/>
              </w:rPr>
              <w:t>5.8%</w:t>
            </w:r>
          </w:p>
        </w:tc>
        <w:tc>
          <w:tcPr>
            <w:tcW w:w="980" w:type="dxa"/>
            <w:tcBorders>
              <w:top w:val="nil"/>
              <w:left w:val="nil"/>
              <w:bottom w:val="single" w:sz="4" w:space="0" w:color="auto"/>
              <w:right w:val="single" w:sz="4" w:space="0" w:color="auto"/>
            </w:tcBorders>
            <w:shd w:val="clear" w:color="auto" w:fill="auto"/>
            <w:noWrap/>
            <w:vAlign w:val="bottom"/>
            <w:hideMark/>
          </w:tcPr>
          <w:p w14:paraId="12753BE3" w14:textId="77777777" w:rsidR="00490C15" w:rsidRPr="00490C15" w:rsidRDefault="00490C15" w:rsidP="00490C15">
            <w:pPr>
              <w:jc w:val="right"/>
              <w:rPr>
                <w:rFonts w:ascii="Arial" w:eastAsia="Times New Roman" w:hAnsi="Arial" w:cs="Arial"/>
                <w:sz w:val="20"/>
                <w:szCs w:val="20"/>
              </w:rPr>
            </w:pPr>
            <w:r w:rsidRPr="00490C15">
              <w:rPr>
                <w:rFonts w:ascii="Arial" w:eastAsia="Times New Roman" w:hAnsi="Arial" w:cs="Arial"/>
                <w:sz w:val="20"/>
                <w:szCs w:val="20"/>
              </w:rPr>
              <w:t>5.2%</w:t>
            </w:r>
          </w:p>
        </w:tc>
        <w:tc>
          <w:tcPr>
            <w:tcW w:w="979" w:type="dxa"/>
            <w:tcBorders>
              <w:top w:val="nil"/>
              <w:left w:val="nil"/>
              <w:bottom w:val="single" w:sz="4" w:space="0" w:color="auto"/>
              <w:right w:val="single" w:sz="4" w:space="0" w:color="auto"/>
            </w:tcBorders>
            <w:shd w:val="clear" w:color="auto" w:fill="auto"/>
            <w:noWrap/>
            <w:vAlign w:val="center"/>
            <w:hideMark/>
          </w:tcPr>
          <w:p w14:paraId="36872CF0" w14:textId="77777777" w:rsidR="00490C15" w:rsidRPr="00490C15" w:rsidRDefault="00490C15" w:rsidP="00490C15">
            <w:pPr>
              <w:jc w:val="right"/>
              <w:rPr>
                <w:rFonts w:ascii="Arial" w:eastAsia="Times New Roman" w:hAnsi="Arial" w:cs="Arial"/>
                <w:sz w:val="20"/>
                <w:szCs w:val="20"/>
              </w:rPr>
            </w:pPr>
            <w:r w:rsidRPr="00490C15">
              <w:rPr>
                <w:rFonts w:ascii="Arial" w:eastAsia="Times New Roman" w:hAnsi="Arial" w:cs="Arial"/>
                <w:sz w:val="20"/>
                <w:szCs w:val="20"/>
              </w:rPr>
              <w:t>4.5%</w:t>
            </w:r>
          </w:p>
        </w:tc>
        <w:tc>
          <w:tcPr>
            <w:tcW w:w="980" w:type="dxa"/>
            <w:tcBorders>
              <w:top w:val="nil"/>
              <w:left w:val="nil"/>
              <w:bottom w:val="single" w:sz="4" w:space="0" w:color="auto"/>
              <w:right w:val="single" w:sz="4" w:space="0" w:color="auto"/>
            </w:tcBorders>
            <w:shd w:val="clear" w:color="auto" w:fill="auto"/>
            <w:noWrap/>
            <w:vAlign w:val="center"/>
            <w:hideMark/>
          </w:tcPr>
          <w:p w14:paraId="7AD3B2E0" w14:textId="77777777" w:rsidR="00490C15" w:rsidRPr="00490C15" w:rsidRDefault="00490C15" w:rsidP="00490C15">
            <w:pPr>
              <w:jc w:val="right"/>
              <w:rPr>
                <w:rFonts w:ascii="Arial" w:eastAsia="Times New Roman" w:hAnsi="Arial" w:cs="Arial"/>
                <w:sz w:val="20"/>
                <w:szCs w:val="20"/>
              </w:rPr>
            </w:pPr>
            <w:r w:rsidRPr="00490C15">
              <w:rPr>
                <w:rFonts w:ascii="Arial" w:eastAsia="Times New Roman" w:hAnsi="Arial" w:cs="Arial"/>
                <w:sz w:val="20"/>
                <w:szCs w:val="20"/>
              </w:rPr>
              <w:t>2.0%</w:t>
            </w:r>
          </w:p>
        </w:tc>
        <w:tc>
          <w:tcPr>
            <w:tcW w:w="979" w:type="dxa"/>
            <w:tcBorders>
              <w:top w:val="nil"/>
              <w:left w:val="nil"/>
              <w:bottom w:val="nil"/>
              <w:right w:val="single" w:sz="4" w:space="0" w:color="auto"/>
            </w:tcBorders>
            <w:shd w:val="clear" w:color="auto" w:fill="auto"/>
            <w:noWrap/>
            <w:vAlign w:val="center"/>
            <w:hideMark/>
          </w:tcPr>
          <w:p w14:paraId="2682245A" w14:textId="77777777" w:rsidR="00490C15" w:rsidRPr="00490C15" w:rsidRDefault="00490C15" w:rsidP="00490C15">
            <w:pPr>
              <w:jc w:val="right"/>
              <w:rPr>
                <w:rFonts w:ascii="Arial" w:eastAsia="Times New Roman" w:hAnsi="Arial" w:cs="Arial"/>
                <w:sz w:val="20"/>
                <w:szCs w:val="20"/>
              </w:rPr>
            </w:pPr>
            <w:r w:rsidRPr="00490C15">
              <w:rPr>
                <w:rFonts w:ascii="Arial" w:eastAsia="Times New Roman" w:hAnsi="Arial" w:cs="Arial"/>
                <w:sz w:val="20"/>
                <w:szCs w:val="20"/>
              </w:rPr>
              <w:t>4.31%</w:t>
            </w:r>
          </w:p>
        </w:tc>
        <w:tc>
          <w:tcPr>
            <w:tcW w:w="980" w:type="dxa"/>
            <w:tcBorders>
              <w:top w:val="nil"/>
              <w:left w:val="nil"/>
              <w:bottom w:val="nil"/>
              <w:right w:val="single" w:sz="4" w:space="0" w:color="auto"/>
            </w:tcBorders>
            <w:shd w:val="clear" w:color="auto" w:fill="auto"/>
            <w:noWrap/>
            <w:vAlign w:val="center"/>
            <w:hideMark/>
          </w:tcPr>
          <w:p w14:paraId="69B9569A" w14:textId="77777777" w:rsidR="00490C15" w:rsidRPr="00490C15" w:rsidRDefault="00490C15" w:rsidP="00490C15">
            <w:pPr>
              <w:jc w:val="right"/>
              <w:rPr>
                <w:rFonts w:ascii="Arial" w:eastAsia="Times New Roman" w:hAnsi="Arial" w:cs="Arial"/>
                <w:sz w:val="20"/>
                <w:szCs w:val="20"/>
              </w:rPr>
            </w:pPr>
            <w:r w:rsidRPr="00490C15">
              <w:rPr>
                <w:rFonts w:ascii="Arial" w:eastAsia="Times New Roman" w:hAnsi="Arial" w:cs="Arial"/>
                <w:sz w:val="20"/>
                <w:szCs w:val="20"/>
              </w:rPr>
              <w:t>3.28%</w:t>
            </w:r>
          </w:p>
        </w:tc>
      </w:tr>
      <w:tr w:rsidR="00490C15" w:rsidRPr="00490C15" w14:paraId="7A44C441" w14:textId="77777777" w:rsidTr="00490C15">
        <w:trPr>
          <w:trHeight w:val="255"/>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501D5086" w14:textId="77777777" w:rsidR="00490C15" w:rsidRPr="00490C15" w:rsidRDefault="00490C15" w:rsidP="00490C15">
            <w:pPr>
              <w:rPr>
                <w:rFonts w:ascii="Arial" w:eastAsia="Times New Roman" w:hAnsi="Arial" w:cs="Arial"/>
                <w:sz w:val="20"/>
                <w:szCs w:val="20"/>
              </w:rPr>
            </w:pPr>
            <w:r w:rsidRPr="00490C15">
              <w:rPr>
                <w:rFonts w:ascii="Arial" w:eastAsia="Times New Roman" w:hAnsi="Arial" w:cs="Arial"/>
                <w:sz w:val="20"/>
                <w:szCs w:val="20"/>
              </w:rPr>
              <w:t>U.S. Treasury and Agency Securities</w:t>
            </w:r>
          </w:p>
        </w:tc>
        <w:tc>
          <w:tcPr>
            <w:tcW w:w="947" w:type="dxa"/>
            <w:tcBorders>
              <w:top w:val="nil"/>
              <w:left w:val="nil"/>
              <w:bottom w:val="single" w:sz="4" w:space="0" w:color="auto"/>
              <w:right w:val="single" w:sz="4" w:space="0" w:color="auto"/>
            </w:tcBorders>
            <w:shd w:val="clear" w:color="auto" w:fill="auto"/>
            <w:noWrap/>
            <w:vAlign w:val="bottom"/>
            <w:hideMark/>
          </w:tcPr>
          <w:p w14:paraId="0FA70258" w14:textId="77777777" w:rsidR="00490C15" w:rsidRPr="00490C15" w:rsidRDefault="00490C15" w:rsidP="00490C15">
            <w:pPr>
              <w:jc w:val="right"/>
              <w:rPr>
                <w:rFonts w:ascii="Arial" w:eastAsia="Times New Roman" w:hAnsi="Arial" w:cs="Arial"/>
                <w:sz w:val="20"/>
                <w:szCs w:val="20"/>
              </w:rPr>
            </w:pPr>
            <w:r w:rsidRPr="00490C15">
              <w:rPr>
                <w:rFonts w:ascii="Arial" w:eastAsia="Times New Roman" w:hAnsi="Arial" w:cs="Arial"/>
                <w:sz w:val="20"/>
                <w:szCs w:val="20"/>
              </w:rPr>
              <w:t>25.9%</w:t>
            </w:r>
          </w:p>
        </w:tc>
        <w:tc>
          <w:tcPr>
            <w:tcW w:w="980" w:type="dxa"/>
            <w:tcBorders>
              <w:top w:val="nil"/>
              <w:left w:val="nil"/>
              <w:bottom w:val="single" w:sz="4" w:space="0" w:color="auto"/>
              <w:right w:val="single" w:sz="4" w:space="0" w:color="auto"/>
            </w:tcBorders>
            <w:shd w:val="clear" w:color="auto" w:fill="auto"/>
            <w:noWrap/>
            <w:vAlign w:val="bottom"/>
            <w:hideMark/>
          </w:tcPr>
          <w:p w14:paraId="15119F65" w14:textId="77777777" w:rsidR="00490C15" w:rsidRPr="00490C15" w:rsidRDefault="00490C15" w:rsidP="00490C15">
            <w:pPr>
              <w:jc w:val="right"/>
              <w:rPr>
                <w:rFonts w:ascii="Arial" w:eastAsia="Times New Roman" w:hAnsi="Arial" w:cs="Arial"/>
                <w:sz w:val="20"/>
                <w:szCs w:val="20"/>
              </w:rPr>
            </w:pPr>
            <w:r w:rsidRPr="00490C15">
              <w:rPr>
                <w:rFonts w:ascii="Arial" w:eastAsia="Times New Roman" w:hAnsi="Arial" w:cs="Arial"/>
                <w:sz w:val="20"/>
                <w:szCs w:val="20"/>
              </w:rPr>
              <w:t>30.3%</w:t>
            </w:r>
          </w:p>
        </w:tc>
        <w:tc>
          <w:tcPr>
            <w:tcW w:w="979" w:type="dxa"/>
            <w:tcBorders>
              <w:top w:val="nil"/>
              <w:left w:val="nil"/>
              <w:bottom w:val="single" w:sz="4" w:space="0" w:color="auto"/>
              <w:right w:val="single" w:sz="4" w:space="0" w:color="auto"/>
            </w:tcBorders>
            <w:shd w:val="clear" w:color="auto" w:fill="auto"/>
            <w:noWrap/>
            <w:vAlign w:val="center"/>
            <w:hideMark/>
          </w:tcPr>
          <w:p w14:paraId="601CACB9" w14:textId="77777777" w:rsidR="00490C15" w:rsidRPr="00490C15" w:rsidRDefault="00490C15" w:rsidP="00490C15">
            <w:pPr>
              <w:jc w:val="right"/>
              <w:rPr>
                <w:rFonts w:ascii="Arial" w:eastAsia="Times New Roman" w:hAnsi="Arial" w:cs="Arial"/>
                <w:sz w:val="20"/>
                <w:szCs w:val="20"/>
              </w:rPr>
            </w:pPr>
            <w:r w:rsidRPr="00490C15">
              <w:rPr>
                <w:rFonts w:ascii="Arial" w:eastAsia="Times New Roman" w:hAnsi="Arial" w:cs="Arial"/>
                <w:sz w:val="20"/>
                <w:szCs w:val="20"/>
              </w:rPr>
              <w:t>32.0%</w:t>
            </w:r>
          </w:p>
        </w:tc>
        <w:tc>
          <w:tcPr>
            <w:tcW w:w="980" w:type="dxa"/>
            <w:tcBorders>
              <w:top w:val="nil"/>
              <w:left w:val="nil"/>
              <w:bottom w:val="single" w:sz="4" w:space="0" w:color="auto"/>
              <w:right w:val="single" w:sz="4" w:space="0" w:color="auto"/>
            </w:tcBorders>
            <w:shd w:val="clear" w:color="auto" w:fill="auto"/>
            <w:noWrap/>
            <w:vAlign w:val="center"/>
            <w:hideMark/>
          </w:tcPr>
          <w:p w14:paraId="471B168A" w14:textId="77777777" w:rsidR="00490C15" w:rsidRPr="00490C15" w:rsidRDefault="00490C15" w:rsidP="00490C15">
            <w:pPr>
              <w:jc w:val="right"/>
              <w:rPr>
                <w:rFonts w:ascii="Arial" w:eastAsia="Times New Roman" w:hAnsi="Arial" w:cs="Arial"/>
                <w:sz w:val="20"/>
                <w:szCs w:val="20"/>
              </w:rPr>
            </w:pPr>
            <w:r w:rsidRPr="00490C15">
              <w:rPr>
                <w:rFonts w:ascii="Arial" w:eastAsia="Times New Roman" w:hAnsi="Arial" w:cs="Arial"/>
                <w:sz w:val="20"/>
                <w:szCs w:val="20"/>
              </w:rPr>
              <w:t>35.1%</w:t>
            </w:r>
          </w:p>
        </w:tc>
        <w:tc>
          <w:tcPr>
            <w:tcW w:w="979" w:type="dxa"/>
            <w:tcBorders>
              <w:top w:val="single" w:sz="4" w:space="0" w:color="auto"/>
              <w:left w:val="nil"/>
              <w:bottom w:val="single" w:sz="4" w:space="0" w:color="auto"/>
              <w:right w:val="single" w:sz="4" w:space="0" w:color="auto"/>
            </w:tcBorders>
            <w:shd w:val="clear" w:color="auto" w:fill="auto"/>
            <w:noWrap/>
            <w:vAlign w:val="center"/>
            <w:hideMark/>
          </w:tcPr>
          <w:p w14:paraId="753C8419" w14:textId="77777777" w:rsidR="00490C15" w:rsidRPr="00490C15" w:rsidRDefault="00490C15" w:rsidP="00490C15">
            <w:pPr>
              <w:jc w:val="right"/>
              <w:rPr>
                <w:rFonts w:ascii="Arial" w:eastAsia="Times New Roman" w:hAnsi="Arial" w:cs="Arial"/>
                <w:sz w:val="20"/>
                <w:szCs w:val="20"/>
              </w:rPr>
            </w:pPr>
            <w:r w:rsidRPr="00490C15">
              <w:rPr>
                <w:rFonts w:ascii="Arial" w:eastAsia="Times New Roman" w:hAnsi="Arial" w:cs="Arial"/>
                <w:sz w:val="20"/>
                <w:szCs w:val="20"/>
              </w:rPr>
              <w:t>36.88%</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2DA4965D" w14:textId="77777777" w:rsidR="00490C15" w:rsidRPr="00490C15" w:rsidRDefault="00490C15" w:rsidP="00490C15">
            <w:pPr>
              <w:jc w:val="right"/>
              <w:rPr>
                <w:rFonts w:ascii="Arial" w:eastAsia="Times New Roman" w:hAnsi="Arial" w:cs="Arial"/>
                <w:sz w:val="20"/>
                <w:szCs w:val="20"/>
              </w:rPr>
            </w:pPr>
            <w:r w:rsidRPr="00490C15">
              <w:rPr>
                <w:rFonts w:ascii="Arial" w:eastAsia="Times New Roman" w:hAnsi="Arial" w:cs="Arial"/>
                <w:sz w:val="20"/>
                <w:szCs w:val="20"/>
              </w:rPr>
              <w:t>36.35%</w:t>
            </w:r>
          </w:p>
        </w:tc>
      </w:tr>
      <w:tr w:rsidR="00490C15" w:rsidRPr="00490C15" w14:paraId="27065073" w14:textId="77777777" w:rsidTr="00490C15">
        <w:trPr>
          <w:trHeight w:val="255"/>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2ED06C44" w14:textId="77777777" w:rsidR="00490C15" w:rsidRPr="00490C15" w:rsidRDefault="00490C15" w:rsidP="00490C15">
            <w:pPr>
              <w:rPr>
                <w:rFonts w:ascii="Arial" w:eastAsia="Times New Roman" w:hAnsi="Arial" w:cs="Arial"/>
                <w:sz w:val="20"/>
                <w:szCs w:val="20"/>
              </w:rPr>
            </w:pPr>
            <w:r w:rsidRPr="00490C15">
              <w:rPr>
                <w:rFonts w:ascii="Arial" w:eastAsia="Times New Roman" w:hAnsi="Arial" w:cs="Arial"/>
                <w:sz w:val="20"/>
                <w:szCs w:val="20"/>
              </w:rPr>
              <w:t>Mortgage-Backed Securities</w:t>
            </w:r>
          </w:p>
        </w:tc>
        <w:tc>
          <w:tcPr>
            <w:tcW w:w="947" w:type="dxa"/>
            <w:tcBorders>
              <w:top w:val="nil"/>
              <w:left w:val="nil"/>
              <w:bottom w:val="single" w:sz="4" w:space="0" w:color="auto"/>
              <w:right w:val="single" w:sz="4" w:space="0" w:color="auto"/>
            </w:tcBorders>
            <w:shd w:val="clear" w:color="auto" w:fill="auto"/>
            <w:noWrap/>
            <w:vAlign w:val="bottom"/>
            <w:hideMark/>
          </w:tcPr>
          <w:p w14:paraId="0CD63FA7" w14:textId="77777777" w:rsidR="00490C15" w:rsidRPr="00490C15" w:rsidRDefault="00490C15" w:rsidP="00490C15">
            <w:pPr>
              <w:jc w:val="right"/>
              <w:rPr>
                <w:rFonts w:ascii="Arial" w:eastAsia="Times New Roman" w:hAnsi="Arial" w:cs="Arial"/>
                <w:sz w:val="20"/>
                <w:szCs w:val="20"/>
              </w:rPr>
            </w:pPr>
            <w:r w:rsidRPr="00490C15">
              <w:rPr>
                <w:rFonts w:ascii="Arial" w:eastAsia="Times New Roman" w:hAnsi="Arial" w:cs="Arial"/>
                <w:sz w:val="20"/>
                <w:szCs w:val="20"/>
              </w:rPr>
              <w:t>0.07%</w:t>
            </w:r>
          </w:p>
        </w:tc>
        <w:tc>
          <w:tcPr>
            <w:tcW w:w="980" w:type="dxa"/>
            <w:tcBorders>
              <w:top w:val="nil"/>
              <w:left w:val="nil"/>
              <w:bottom w:val="single" w:sz="4" w:space="0" w:color="auto"/>
              <w:right w:val="single" w:sz="4" w:space="0" w:color="auto"/>
            </w:tcBorders>
            <w:shd w:val="clear" w:color="auto" w:fill="auto"/>
            <w:noWrap/>
            <w:vAlign w:val="bottom"/>
            <w:hideMark/>
          </w:tcPr>
          <w:p w14:paraId="1254A012" w14:textId="77777777" w:rsidR="00490C15" w:rsidRPr="00490C15" w:rsidRDefault="00490C15" w:rsidP="00490C15">
            <w:pPr>
              <w:jc w:val="right"/>
              <w:rPr>
                <w:rFonts w:ascii="Arial" w:eastAsia="Times New Roman" w:hAnsi="Arial" w:cs="Arial"/>
                <w:sz w:val="20"/>
                <w:szCs w:val="20"/>
              </w:rPr>
            </w:pPr>
            <w:r w:rsidRPr="00490C15">
              <w:rPr>
                <w:rFonts w:ascii="Arial" w:eastAsia="Times New Roman" w:hAnsi="Arial" w:cs="Arial"/>
                <w:sz w:val="20"/>
                <w:szCs w:val="20"/>
              </w:rPr>
              <w:t>0.05%</w:t>
            </w:r>
          </w:p>
        </w:tc>
        <w:tc>
          <w:tcPr>
            <w:tcW w:w="979" w:type="dxa"/>
            <w:tcBorders>
              <w:top w:val="nil"/>
              <w:left w:val="nil"/>
              <w:bottom w:val="single" w:sz="4" w:space="0" w:color="auto"/>
              <w:right w:val="single" w:sz="4" w:space="0" w:color="auto"/>
            </w:tcBorders>
            <w:shd w:val="clear" w:color="auto" w:fill="auto"/>
            <w:noWrap/>
            <w:vAlign w:val="bottom"/>
            <w:hideMark/>
          </w:tcPr>
          <w:p w14:paraId="538D8112" w14:textId="77777777" w:rsidR="00490C15" w:rsidRPr="00490C15" w:rsidRDefault="00490C15" w:rsidP="00490C15">
            <w:pPr>
              <w:jc w:val="right"/>
              <w:rPr>
                <w:rFonts w:ascii="Arial" w:eastAsia="Times New Roman" w:hAnsi="Arial" w:cs="Arial"/>
                <w:sz w:val="20"/>
                <w:szCs w:val="20"/>
              </w:rPr>
            </w:pPr>
            <w:r w:rsidRPr="00490C15">
              <w:rPr>
                <w:rFonts w:ascii="Arial" w:eastAsia="Times New Roman" w:hAnsi="Arial" w:cs="Arial"/>
                <w:sz w:val="20"/>
                <w:szCs w:val="20"/>
              </w:rPr>
              <w:t>0.04%</w:t>
            </w:r>
          </w:p>
        </w:tc>
        <w:tc>
          <w:tcPr>
            <w:tcW w:w="980" w:type="dxa"/>
            <w:tcBorders>
              <w:top w:val="nil"/>
              <w:left w:val="nil"/>
              <w:bottom w:val="single" w:sz="4" w:space="0" w:color="auto"/>
              <w:right w:val="single" w:sz="4" w:space="0" w:color="auto"/>
            </w:tcBorders>
            <w:shd w:val="clear" w:color="auto" w:fill="auto"/>
            <w:noWrap/>
            <w:vAlign w:val="bottom"/>
            <w:hideMark/>
          </w:tcPr>
          <w:p w14:paraId="769D61A8" w14:textId="77777777" w:rsidR="00490C15" w:rsidRPr="00490C15" w:rsidRDefault="00490C15" w:rsidP="00490C15">
            <w:pPr>
              <w:jc w:val="right"/>
              <w:rPr>
                <w:rFonts w:ascii="Arial" w:eastAsia="Times New Roman" w:hAnsi="Arial" w:cs="Arial"/>
                <w:sz w:val="20"/>
                <w:szCs w:val="20"/>
              </w:rPr>
            </w:pPr>
            <w:r w:rsidRPr="00490C15">
              <w:rPr>
                <w:rFonts w:ascii="Arial" w:eastAsia="Times New Roman" w:hAnsi="Arial" w:cs="Arial"/>
                <w:sz w:val="20"/>
                <w:szCs w:val="20"/>
              </w:rPr>
              <w:t>0.03%</w:t>
            </w:r>
          </w:p>
        </w:tc>
        <w:tc>
          <w:tcPr>
            <w:tcW w:w="979" w:type="dxa"/>
            <w:tcBorders>
              <w:top w:val="nil"/>
              <w:left w:val="nil"/>
              <w:bottom w:val="nil"/>
              <w:right w:val="single" w:sz="4" w:space="0" w:color="auto"/>
            </w:tcBorders>
            <w:shd w:val="clear" w:color="auto" w:fill="auto"/>
            <w:noWrap/>
            <w:vAlign w:val="bottom"/>
            <w:hideMark/>
          </w:tcPr>
          <w:p w14:paraId="0EB86D3C" w14:textId="77777777" w:rsidR="00490C15" w:rsidRPr="00490C15" w:rsidRDefault="00490C15" w:rsidP="00490C15">
            <w:pPr>
              <w:jc w:val="right"/>
              <w:rPr>
                <w:rFonts w:ascii="Arial" w:eastAsia="Times New Roman" w:hAnsi="Arial" w:cs="Arial"/>
                <w:sz w:val="20"/>
                <w:szCs w:val="20"/>
              </w:rPr>
            </w:pPr>
            <w:r w:rsidRPr="00490C15">
              <w:rPr>
                <w:rFonts w:ascii="Arial" w:eastAsia="Times New Roman" w:hAnsi="Arial" w:cs="Arial"/>
                <w:sz w:val="20"/>
                <w:szCs w:val="20"/>
              </w:rPr>
              <w:t>0.02%</w:t>
            </w:r>
          </w:p>
        </w:tc>
        <w:tc>
          <w:tcPr>
            <w:tcW w:w="980" w:type="dxa"/>
            <w:tcBorders>
              <w:top w:val="nil"/>
              <w:left w:val="nil"/>
              <w:bottom w:val="nil"/>
              <w:right w:val="single" w:sz="4" w:space="0" w:color="auto"/>
            </w:tcBorders>
            <w:shd w:val="clear" w:color="auto" w:fill="auto"/>
            <w:noWrap/>
            <w:vAlign w:val="bottom"/>
            <w:hideMark/>
          </w:tcPr>
          <w:p w14:paraId="54434C5F" w14:textId="77777777" w:rsidR="00490C15" w:rsidRPr="00490C15" w:rsidRDefault="00490C15" w:rsidP="00490C15">
            <w:pPr>
              <w:jc w:val="right"/>
              <w:rPr>
                <w:rFonts w:ascii="Arial" w:eastAsia="Times New Roman" w:hAnsi="Arial" w:cs="Arial"/>
                <w:sz w:val="20"/>
                <w:szCs w:val="20"/>
              </w:rPr>
            </w:pPr>
            <w:r w:rsidRPr="00490C15">
              <w:rPr>
                <w:rFonts w:ascii="Arial" w:eastAsia="Times New Roman" w:hAnsi="Arial" w:cs="Arial"/>
                <w:sz w:val="20"/>
                <w:szCs w:val="20"/>
              </w:rPr>
              <w:t>0.01%</w:t>
            </w:r>
          </w:p>
        </w:tc>
      </w:tr>
      <w:tr w:rsidR="00490C15" w:rsidRPr="00490C15" w14:paraId="35D4E90F" w14:textId="77777777" w:rsidTr="00490C15">
        <w:trPr>
          <w:trHeight w:val="255"/>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046D20C7" w14:textId="77777777" w:rsidR="00490C15" w:rsidRPr="00490C15" w:rsidRDefault="00490C15" w:rsidP="00490C15">
            <w:pPr>
              <w:rPr>
                <w:rFonts w:ascii="Arial" w:eastAsia="Times New Roman" w:hAnsi="Arial" w:cs="Arial"/>
                <w:sz w:val="20"/>
                <w:szCs w:val="20"/>
              </w:rPr>
            </w:pPr>
            <w:r w:rsidRPr="00490C15">
              <w:rPr>
                <w:rFonts w:ascii="Arial" w:eastAsia="Times New Roman" w:hAnsi="Arial" w:cs="Arial"/>
                <w:sz w:val="20"/>
                <w:szCs w:val="20"/>
              </w:rPr>
              <w:t>Corporate Bonds</w:t>
            </w:r>
          </w:p>
        </w:tc>
        <w:tc>
          <w:tcPr>
            <w:tcW w:w="947" w:type="dxa"/>
            <w:tcBorders>
              <w:top w:val="nil"/>
              <w:left w:val="nil"/>
              <w:bottom w:val="single" w:sz="4" w:space="0" w:color="auto"/>
              <w:right w:val="single" w:sz="4" w:space="0" w:color="auto"/>
            </w:tcBorders>
            <w:shd w:val="clear" w:color="auto" w:fill="auto"/>
            <w:noWrap/>
            <w:vAlign w:val="bottom"/>
            <w:hideMark/>
          </w:tcPr>
          <w:p w14:paraId="698F24A4" w14:textId="77777777" w:rsidR="00490C15" w:rsidRPr="00490C15" w:rsidRDefault="00490C15" w:rsidP="00490C15">
            <w:pPr>
              <w:jc w:val="right"/>
              <w:rPr>
                <w:rFonts w:ascii="Arial" w:eastAsia="Times New Roman" w:hAnsi="Arial" w:cs="Arial"/>
                <w:sz w:val="20"/>
                <w:szCs w:val="20"/>
              </w:rPr>
            </w:pPr>
            <w:r w:rsidRPr="00490C15">
              <w:rPr>
                <w:rFonts w:ascii="Arial" w:eastAsia="Times New Roman" w:hAnsi="Arial" w:cs="Arial"/>
                <w:sz w:val="20"/>
                <w:szCs w:val="20"/>
              </w:rPr>
              <w:t>32.2%</w:t>
            </w:r>
          </w:p>
        </w:tc>
        <w:tc>
          <w:tcPr>
            <w:tcW w:w="980" w:type="dxa"/>
            <w:tcBorders>
              <w:top w:val="nil"/>
              <w:left w:val="nil"/>
              <w:bottom w:val="single" w:sz="4" w:space="0" w:color="auto"/>
              <w:right w:val="single" w:sz="4" w:space="0" w:color="auto"/>
            </w:tcBorders>
            <w:shd w:val="clear" w:color="auto" w:fill="auto"/>
            <w:noWrap/>
            <w:vAlign w:val="bottom"/>
            <w:hideMark/>
          </w:tcPr>
          <w:p w14:paraId="337DAA2E" w14:textId="77777777" w:rsidR="00490C15" w:rsidRPr="00490C15" w:rsidRDefault="00490C15" w:rsidP="00490C15">
            <w:pPr>
              <w:jc w:val="right"/>
              <w:rPr>
                <w:rFonts w:ascii="Arial" w:eastAsia="Times New Roman" w:hAnsi="Arial" w:cs="Arial"/>
                <w:sz w:val="20"/>
                <w:szCs w:val="20"/>
              </w:rPr>
            </w:pPr>
            <w:r w:rsidRPr="00490C15">
              <w:rPr>
                <w:rFonts w:ascii="Arial" w:eastAsia="Times New Roman" w:hAnsi="Arial" w:cs="Arial"/>
                <w:sz w:val="20"/>
                <w:szCs w:val="20"/>
              </w:rPr>
              <w:t>29.9%</w:t>
            </w:r>
          </w:p>
        </w:tc>
        <w:tc>
          <w:tcPr>
            <w:tcW w:w="979" w:type="dxa"/>
            <w:tcBorders>
              <w:top w:val="nil"/>
              <w:left w:val="nil"/>
              <w:bottom w:val="single" w:sz="4" w:space="0" w:color="auto"/>
              <w:right w:val="single" w:sz="4" w:space="0" w:color="auto"/>
            </w:tcBorders>
            <w:shd w:val="clear" w:color="auto" w:fill="auto"/>
            <w:noWrap/>
            <w:vAlign w:val="center"/>
            <w:hideMark/>
          </w:tcPr>
          <w:p w14:paraId="76F67130" w14:textId="77777777" w:rsidR="00490C15" w:rsidRPr="00490C15" w:rsidRDefault="00490C15" w:rsidP="00490C15">
            <w:pPr>
              <w:jc w:val="right"/>
              <w:rPr>
                <w:rFonts w:ascii="Arial" w:eastAsia="Times New Roman" w:hAnsi="Arial" w:cs="Arial"/>
                <w:sz w:val="20"/>
                <w:szCs w:val="20"/>
              </w:rPr>
            </w:pPr>
            <w:r w:rsidRPr="00490C15">
              <w:rPr>
                <w:rFonts w:ascii="Arial" w:eastAsia="Times New Roman" w:hAnsi="Arial" w:cs="Arial"/>
                <w:sz w:val="20"/>
                <w:szCs w:val="20"/>
              </w:rPr>
              <w:t>28.3%</w:t>
            </w:r>
          </w:p>
        </w:tc>
        <w:tc>
          <w:tcPr>
            <w:tcW w:w="980" w:type="dxa"/>
            <w:tcBorders>
              <w:top w:val="nil"/>
              <w:left w:val="nil"/>
              <w:bottom w:val="single" w:sz="4" w:space="0" w:color="auto"/>
              <w:right w:val="single" w:sz="4" w:space="0" w:color="auto"/>
            </w:tcBorders>
            <w:shd w:val="clear" w:color="auto" w:fill="auto"/>
            <w:noWrap/>
            <w:vAlign w:val="center"/>
            <w:hideMark/>
          </w:tcPr>
          <w:p w14:paraId="67612D67" w14:textId="77777777" w:rsidR="00490C15" w:rsidRPr="00490C15" w:rsidRDefault="00490C15" w:rsidP="00490C15">
            <w:pPr>
              <w:jc w:val="right"/>
              <w:rPr>
                <w:rFonts w:ascii="Arial" w:eastAsia="Times New Roman" w:hAnsi="Arial" w:cs="Arial"/>
                <w:sz w:val="20"/>
                <w:szCs w:val="20"/>
              </w:rPr>
            </w:pPr>
            <w:r w:rsidRPr="00490C15">
              <w:rPr>
                <w:rFonts w:ascii="Arial" w:eastAsia="Times New Roman" w:hAnsi="Arial" w:cs="Arial"/>
                <w:sz w:val="20"/>
                <w:szCs w:val="20"/>
              </w:rPr>
              <w:t>30.8%</w:t>
            </w:r>
          </w:p>
        </w:tc>
        <w:tc>
          <w:tcPr>
            <w:tcW w:w="979" w:type="dxa"/>
            <w:tcBorders>
              <w:top w:val="single" w:sz="4" w:space="0" w:color="auto"/>
              <w:left w:val="nil"/>
              <w:bottom w:val="single" w:sz="4" w:space="0" w:color="auto"/>
              <w:right w:val="single" w:sz="4" w:space="0" w:color="auto"/>
            </w:tcBorders>
            <w:shd w:val="clear" w:color="auto" w:fill="auto"/>
            <w:noWrap/>
            <w:vAlign w:val="center"/>
            <w:hideMark/>
          </w:tcPr>
          <w:p w14:paraId="1617C913" w14:textId="77777777" w:rsidR="00490C15" w:rsidRPr="00490C15" w:rsidRDefault="00490C15" w:rsidP="00490C15">
            <w:pPr>
              <w:jc w:val="right"/>
              <w:rPr>
                <w:rFonts w:ascii="Arial" w:eastAsia="Times New Roman" w:hAnsi="Arial" w:cs="Arial"/>
                <w:sz w:val="20"/>
                <w:szCs w:val="20"/>
              </w:rPr>
            </w:pPr>
            <w:r w:rsidRPr="00490C15">
              <w:rPr>
                <w:rFonts w:ascii="Arial" w:eastAsia="Times New Roman" w:hAnsi="Arial" w:cs="Arial"/>
                <w:sz w:val="20"/>
                <w:szCs w:val="20"/>
              </w:rPr>
              <w:t>26.87%</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29898CA9" w14:textId="77777777" w:rsidR="00490C15" w:rsidRPr="00490C15" w:rsidRDefault="00490C15" w:rsidP="00490C15">
            <w:pPr>
              <w:jc w:val="right"/>
              <w:rPr>
                <w:rFonts w:ascii="Arial" w:eastAsia="Times New Roman" w:hAnsi="Arial" w:cs="Arial"/>
                <w:sz w:val="20"/>
                <w:szCs w:val="20"/>
              </w:rPr>
            </w:pPr>
            <w:r w:rsidRPr="00490C15">
              <w:rPr>
                <w:rFonts w:ascii="Arial" w:eastAsia="Times New Roman" w:hAnsi="Arial" w:cs="Arial"/>
                <w:sz w:val="20"/>
                <w:szCs w:val="20"/>
              </w:rPr>
              <w:t>25.50%</w:t>
            </w:r>
          </w:p>
        </w:tc>
      </w:tr>
      <w:tr w:rsidR="00490C15" w:rsidRPr="00490C15" w14:paraId="2E560F53" w14:textId="77777777" w:rsidTr="00490C15">
        <w:trPr>
          <w:trHeight w:val="255"/>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3C373FEC" w14:textId="77777777" w:rsidR="00490C15" w:rsidRPr="00490C15" w:rsidRDefault="00490C15" w:rsidP="00490C15">
            <w:pPr>
              <w:rPr>
                <w:rFonts w:ascii="Arial" w:eastAsia="Times New Roman" w:hAnsi="Arial" w:cs="Arial"/>
                <w:sz w:val="20"/>
                <w:szCs w:val="20"/>
              </w:rPr>
            </w:pPr>
            <w:r w:rsidRPr="00490C15">
              <w:rPr>
                <w:rFonts w:ascii="Arial" w:eastAsia="Times New Roman" w:hAnsi="Arial" w:cs="Arial"/>
                <w:sz w:val="20"/>
                <w:szCs w:val="20"/>
              </w:rPr>
              <w:t>Equity Securities</w:t>
            </w:r>
          </w:p>
        </w:tc>
        <w:tc>
          <w:tcPr>
            <w:tcW w:w="947" w:type="dxa"/>
            <w:tcBorders>
              <w:top w:val="nil"/>
              <w:left w:val="nil"/>
              <w:bottom w:val="single" w:sz="4" w:space="0" w:color="auto"/>
              <w:right w:val="single" w:sz="4" w:space="0" w:color="auto"/>
            </w:tcBorders>
            <w:shd w:val="clear" w:color="auto" w:fill="auto"/>
            <w:noWrap/>
            <w:vAlign w:val="bottom"/>
            <w:hideMark/>
          </w:tcPr>
          <w:p w14:paraId="2E9C1DB9" w14:textId="77777777" w:rsidR="00490C15" w:rsidRPr="00490C15" w:rsidRDefault="00490C15" w:rsidP="00490C15">
            <w:pPr>
              <w:jc w:val="right"/>
              <w:rPr>
                <w:rFonts w:ascii="Arial" w:eastAsia="Times New Roman" w:hAnsi="Arial" w:cs="Arial"/>
                <w:sz w:val="20"/>
                <w:szCs w:val="20"/>
              </w:rPr>
            </w:pPr>
            <w:r w:rsidRPr="00490C15">
              <w:rPr>
                <w:rFonts w:ascii="Arial" w:eastAsia="Times New Roman" w:hAnsi="Arial" w:cs="Arial"/>
                <w:sz w:val="20"/>
                <w:szCs w:val="20"/>
              </w:rPr>
              <w:t>34.8%</w:t>
            </w:r>
          </w:p>
        </w:tc>
        <w:tc>
          <w:tcPr>
            <w:tcW w:w="980" w:type="dxa"/>
            <w:tcBorders>
              <w:top w:val="nil"/>
              <w:left w:val="nil"/>
              <w:bottom w:val="single" w:sz="4" w:space="0" w:color="auto"/>
              <w:right w:val="single" w:sz="4" w:space="0" w:color="auto"/>
            </w:tcBorders>
            <w:shd w:val="clear" w:color="auto" w:fill="auto"/>
            <w:noWrap/>
            <w:vAlign w:val="bottom"/>
            <w:hideMark/>
          </w:tcPr>
          <w:p w14:paraId="362D05A5" w14:textId="77777777" w:rsidR="00490C15" w:rsidRPr="00490C15" w:rsidRDefault="00490C15" w:rsidP="00490C15">
            <w:pPr>
              <w:jc w:val="right"/>
              <w:rPr>
                <w:rFonts w:ascii="Arial" w:eastAsia="Times New Roman" w:hAnsi="Arial" w:cs="Arial"/>
                <w:sz w:val="20"/>
                <w:szCs w:val="20"/>
              </w:rPr>
            </w:pPr>
            <w:r w:rsidRPr="00490C15">
              <w:rPr>
                <w:rFonts w:ascii="Arial" w:eastAsia="Times New Roman" w:hAnsi="Arial" w:cs="Arial"/>
                <w:sz w:val="20"/>
                <w:szCs w:val="20"/>
              </w:rPr>
              <w:t>33.8%</w:t>
            </w:r>
          </w:p>
        </w:tc>
        <w:tc>
          <w:tcPr>
            <w:tcW w:w="979" w:type="dxa"/>
            <w:tcBorders>
              <w:top w:val="nil"/>
              <w:left w:val="nil"/>
              <w:bottom w:val="single" w:sz="4" w:space="0" w:color="auto"/>
              <w:right w:val="single" w:sz="4" w:space="0" w:color="auto"/>
            </w:tcBorders>
            <w:shd w:val="clear" w:color="auto" w:fill="auto"/>
            <w:noWrap/>
            <w:vAlign w:val="center"/>
            <w:hideMark/>
          </w:tcPr>
          <w:p w14:paraId="783E50B2" w14:textId="77777777" w:rsidR="00490C15" w:rsidRPr="00490C15" w:rsidRDefault="00490C15" w:rsidP="00490C15">
            <w:pPr>
              <w:jc w:val="right"/>
              <w:rPr>
                <w:rFonts w:ascii="Arial" w:eastAsia="Times New Roman" w:hAnsi="Arial" w:cs="Arial"/>
                <w:sz w:val="20"/>
                <w:szCs w:val="20"/>
              </w:rPr>
            </w:pPr>
            <w:r w:rsidRPr="00490C15">
              <w:rPr>
                <w:rFonts w:ascii="Arial" w:eastAsia="Times New Roman" w:hAnsi="Arial" w:cs="Arial"/>
                <w:sz w:val="20"/>
                <w:szCs w:val="20"/>
              </w:rPr>
              <w:t>34.3%</w:t>
            </w:r>
          </w:p>
        </w:tc>
        <w:tc>
          <w:tcPr>
            <w:tcW w:w="980" w:type="dxa"/>
            <w:tcBorders>
              <w:top w:val="nil"/>
              <w:left w:val="nil"/>
              <w:bottom w:val="single" w:sz="4" w:space="0" w:color="auto"/>
              <w:right w:val="single" w:sz="4" w:space="0" w:color="auto"/>
            </w:tcBorders>
            <w:shd w:val="clear" w:color="auto" w:fill="auto"/>
            <w:noWrap/>
            <w:vAlign w:val="center"/>
            <w:hideMark/>
          </w:tcPr>
          <w:p w14:paraId="09AAC0FE" w14:textId="77777777" w:rsidR="00490C15" w:rsidRPr="00490C15" w:rsidRDefault="00490C15" w:rsidP="00490C15">
            <w:pPr>
              <w:jc w:val="right"/>
              <w:rPr>
                <w:rFonts w:ascii="Arial" w:eastAsia="Times New Roman" w:hAnsi="Arial" w:cs="Arial"/>
                <w:sz w:val="20"/>
                <w:szCs w:val="20"/>
              </w:rPr>
            </w:pPr>
            <w:r w:rsidRPr="00490C15">
              <w:rPr>
                <w:rFonts w:ascii="Arial" w:eastAsia="Times New Roman" w:hAnsi="Arial" w:cs="Arial"/>
                <w:sz w:val="20"/>
                <w:szCs w:val="20"/>
              </w:rPr>
              <w:t>30.8%</w:t>
            </w:r>
          </w:p>
        </w:tc>
        <w:tc>
          <w:tcPr>
            <w:tcW w:w="979" w:type="dxa"/>
            <w:tcBorders>
              <w:top w:val="nil"/>
              <w:left w:val="nil"/>
              <w:bottom w:val="nil"/>
              <w:right w:val="single" w:sz="4" w:space="0" w:color="auto"/>
            </w:tcBorders>
            <w:shd w:val="clear" w:color="auto" w:fill="auto"/>
            <w:noWrap/>
            <w:vAlign w:val="center"/>
            <w:hideMark/>
          </w:tcPr>
          <w:p w14:paraId="76BA7B5B" w14:textId="77777777" w:rsidR="00490C15" w:rsidRPr="00490C15" w:rsidRDefault="00490C15" w:rsidP="00490C15">
            <w:pPr>
              <w:jc w:val="right"/>
              <w:rPr>
                <w:rFonts w:ascii="Arial" w:eastAsia="Times New Roman" w:hAnsi="Arial" w:cs="Arial"/>
                <w:sz w:val="20"/>
                <w:szCs w:val="20"/>
              </w:rPr>
            </w:pPr>
            <w:r w:rsidRPr="00490C15">
              <w:rPr>
                <w:rFonts w:ascii="Arial" w:eastAsia="Times New Roman" w:hAnsi="Arial" w:cs="Arial"/>
                <w:sz w:val="20"/>
                <w:szCs w:val="20"/>
              </w:rPr>
              <w:t>31.14%</w:t>
            </w:r>
          </w:p>
        </w:tc>
        <w:tc>
          <w:tcPr>
            <w:tcW w:w="980" w:type="dxa"/>
            <w:tcBorders>
              <w:top w:val="nil"/>
              <w:left w:val="nil"/>
              <w:bottom w:val="nil"/>
              <w:right w:val="single" w:sz="4" w:space="0" w:color="auto"/>
            </w:tcBorders>
            <w:shd w:val="clear" w:color="auto" w:fill="auto"/>
            <w:noWrap/>
            <w:vAlign w:val="center"/>
            <w:hideMark/>
          </w:tcPr>
          <w:p w14:paraId="6B1B3CE7" w14:textId="77777777" w:rsidR="00490C15" w:rsidRPr="00490C15" w:rsidRDefault="00490C15" w:rsidP="00490C15">
            <w:pPr>
              <w:jc w:val="right"/>
              <w:rPr>
                <w:rFonts w:ascii="Arial" w:eastAsia="Times New Roman" w:hAnsi="Arial" w:cs="Arial"/>
                <w:sz w:val="20"/>
                <w:szCs w:val="20"/>
              </w:rPr>
            </w:pPr>
            <w:r w:rsidRPr="00490C15">
              <w:rPr>
                <w:rFonts w:ascii="Arial" w:eastAsia="Times New Roman" w:hAnsi="Arial" w:cs="Arial"/>
                <w:sz w:val="20"/>
                <w:szCs w:val="20"/>
              </w:rPr>
              <w:t>34.08%</w:t>
            </w:r>
          </w:p>
        </w:tc>
      </w:tr>
      <w:tr w:rsidR="00490C15" w:rsidRPr="00490C15" w14:paraId="0799ED76" w14:textId="77777777" w:rsidTr="00490C15">
        <w:trPr>
          <w:trHeight w:val="255"/>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04A27776" w14:textId="77777777" w:rsidR="00490C15" w:rsidRPr="00490C15" w:rsidRDefault="00490C15" w:rsidP="00490C15">
            <w:pPr>
              <w:rPr>
                <w:rFonts w:ascii="Arial" w:eastAsia="Times New Roman" w:hAnsi="Arial" w:cs="Arial"/>
                <w:sz w:val="20"/>
                <w:szCs w:val="20"/>
              </w:rPr>
            </w:pPr>
            <w:r w:rsidRPr="00490C15">
              <w:rPr>
                <w:rFonts w:ascii="Arial" w:eastAsia="Times New Roman" w:hAnsi="Arial" w:cs="Arial"/>
                <w:sz w:val="20"/>
                <w:szCs w:val="20"/>
              </w:rPr>
              <w:t>Other Securities</w:t>
            </w:r>
          </w:p>
        </w:tc>
        <w:tc>
          <w:tcPr>
            <w:tcW w:w="947" w:type="dxa"/>
            <w:tcBorders>
              <w:top w:val="nil"/>
              <w:left w:val="nil"/>
              <w:bottom w:val="single" w:sz="4" w:space="0" w:color="auto"/>
              <w:right w:val="single" w:sz="4" w:space="0" w:color="auto"/>
            </w:tcBorders>
            <w:shd w:val="clear" w:color="auto" w:fill="auto"/>
            <w:noWrap/>
            <w:vAlign w:val="bottom"/>
            <w:hideMark/>
          </w:tcPr>
          <w:p w14:paraId="67CD98C5" w14:textId="77777777" w:rsidR="00490C15" w:rsidRPr="00490C15" w:rsidRDefault="00490C15" w:rsidP="00490C15">
            <w:pPr>
              <w:jc w:val="right"/>
              <w:rPr>
                <w:rFonts w:ascii="Arial" w:eastAsia="Times New Roman" w:hAnsi="Arial" w:cs="Arial"/>
                <w:sz w:val="20"/>
                <w:szCs w:val="20"/>
              </w:rPr>
            </w:pPr>
            <w:r w:rsidRPr="00490C15">
              <w:rPr>
                <w:rFonts w:ascii="Arial" w:eastAsia="Times New Roman" w:hAnsi="Arial" w:cs="Arial"/>
                <w:sz w:val="20"/>
                <w:szCs w:val="20"/>
              </w:rPr>
              <w:t>1.2%</w:t>
            </w:r>
          </w:p>
        </w:tc>
        <w:tc>
          <w:tcPr>
            <w:tcW w:w="980" w:type="dxa"/>
            <w:tcBorders>
              <w:top w:val="nil"/>
              <w:left w:val="nil"/>
              <w:bottom w:val="single" w:sz="4" w:space="0" w:color="auto"/>
              <w:right w:val="single" w:sz="4" w:space="0" w:color="auto"/>
            </w:tcBorders>
            <w:shd w:val="clear" w:color="auto" w:fill="auto"/>
            <w:noWrap/>
            <w:vAlign w:val="bottom"/>
            <w:hideMark/>
          </w:tcPr>
          <w:p w14:paraId="556AB287" w14:textId="77777777" w:rsidR="00490C15" w:rsidRPr="00490C15" w:rsidRDefault="00490C15" w:rsidP="00490C15">
            <w:pPr>
              <w:jc w:val="right"/>
              <w:rPr>
                <w:rFonts w:ascii="Arial" w:eastAsia="Times New Roman" w:hAnsi="Arial" w:cs="Arial"/>
                <w:sz w:val="20"/>
                <w:szCs w:val="20"/>
              </w:rPr>
            </w:pPr>
            <w:r w:rsidRPr="00490C15">
              <w:rPr>
                <w:rFonts w:ascii="Arial" w:eastAsia="Times New Roman" w:hAnsi="Arial" w:cs="Arial"/>
                <w:sz w:val="20"/>
                <w:szCs w:val="20"/>
              </w:rPr>
              <w:t>0.8%</w:t>
            </w:r>
          </w:p>
        </w:tc>
        <w:tc>
          <w:tcPr>
            <w:tcW w:w="979" w:type="dxa"/>
            <w:tcBorders>
              <w:top w:val="nil"/>
              <w:left w:val="nil"/>
              <w:bottom w:val="single" w:sz="4" w:space="0" w:color="auto"/>
              <w:right w:val="single" w:sz="4" w:space="0" w:color="auto"/>
            </w:tcBorders>
            <w:shd w:val="clear" w:color="auto" w:fill="auto"/>
            <w:noWrap/>
            <w:vAlign w:val="center"/>
            <w:hideMark/>
          </w:tcPr>
          <w:p w14:paraId="794FD3A2" w14:textId="77777777" w:rsidR="00490C15" w:rsidRPr="00490C15" w:rsidRDefault="00490C15" w:rsidP="00490C15">
            <w:pPr>
              <w:jc w:val="right"/>
              <w:rPr>
                <w:rFonts w:ascii="Arial" w:eastAsia="Times New Roman" w:hAnsi="Arial" w:cs="Arial"/>
                <w:sz w:val="20"/>
                <w:szCs w:val="20"/>
              </w:rPr>
            </w:pPr>
            <w:r w:rsidRPr="00490C15">
              <w:rPr>
                <w:rFonts w:ascii="Arial" w:eastAsia="Times New Roman" w:hAnsi="Arial" w:cs="Arial"/>
                <w:sz w:val="20"/>
                <w:szCs w:val="20"/>
              </w:rPr>
              <w:t>0.8%</w:t>
            </w:r>
          </w:p>
        </w:tc>
        <w:tc>
          <w:tcPr>
            <w:tcW w:w="980" w:type="dxa"/>
            <w:tcBorders>
              <w:top w:val="nil"/>
              <w:left w:val="nil"/>
              <w:bottom w:val="single" w:sz="4" w:space="0" w:color="auto"/>
              <w:right w:val="single" w:sz="4" w:space="0" w:color="auto"/>
            </w:tcBorders>
            <w:shd w:val="clear" w:color="auto" w:fill="auto"/>
            <w:noWrap/>
            <w:vAlign w:val="center"/>
            <w:hideMark/>
          </w:tcPr>
          <w:p w14:paraId="0676F1F4" w14:textId="77777777" w:rsidR="00490C15" w:rsidRPr="00490C15" w:rsidRDefault="00490C15" w:rsidP="00490C15">
            <w:pPr>
              <w:jc w:val="right"/>
              <w:rPr>
                <w:rFonts w:ascii="Arial" w:eastAsia="Times New Roman" w:hAnsi="Arial" w:cs="Arial"/>
                <w:sz w:val="20"/>
                <w:szCs w:val="20"/>
              </w:rPr>
            </w:pPr>
            <w:r w:rsidRPr="00490C15">
              <w:rPr>
                <w:rFonts w:ascii="Arial" w:eastAsia="Times New Roman" w:hAnsi="Arial" w:cs="Arial"/>
                <w:sz w:val="20"/>
                <w:szCs w:val="20"/>
              </w:rPr>
              <w:t>1.2%</w:t>
            </w:r>
          </w:p>
        </w:tc>
        <w:tc>
          <w:tcPr>
            <w:tcW w:w="979" w:type="dxa"/>
            <w:tcBorders>
              <w:top w:val="single" w:sz="4" w:space="0" w:color="auto"/>
              <w:left w:val="nil"/>
              <w:bottom w:val="single" w:sz="4" w:space="0" w:color="auto"/>
              <w:right w:val="single" w:sz="4" w:space="0" w:color="auto"/>
            </w:tcBorders>
            <w:shd w:val="clear" w:color="auto" w:fill="auto"/>
            <w:noWrap/>
            <w:vAlign w:val="center"/>
            <w:hideMark/>
          </w:tcPr>
          <w:p w14:paraId="1C2CDA1C" w14:textId="77777777" w:rsidR="00490C15" w:rsidRPr="00490C15" w:rsidRDefault="00490C15" w:rsidP="00490C15">
            <w:pPr>
              <w:jc w:val="right"/>
              <w:rPr>
                <w:rFonts w:ascii="Arial" w:eastAsia="Times New Roman" w:hAnsi="Arial" w:cs="Arial"/>
                <w:sz w:val="20"/>
                <w:szCs w:val="20"/>
              </w:rPr>
            </w:pPr>
            <w:r w:rsidRPr="00490C15">
              <w:rPr>
                <w:rFonts w:ascii="Arial" w:eastAsia="Times New Roman" w:hAnsi="Arial" w:cs="Arial"/>
                <w:sz w:val="20"/>
                <w:szCs w:val="20"/>
              </w:rPr>
              <w:t>0.80%</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7FB82E0C" w14:textId="77777777" w:rsidR="00490C15" w:rsidRPr="00490C15" w:rsidRDefault="00490C15" w:rsidP="00490C15">
            <w:pPr>
              <w:jc w:val="right"/>
              <w:rPr>
                <w:rFonts w:ascii="Arial" w:eastAsia="Times New Roman" w:hAnsi="Arial" w:cs="Arial"/>
                <w:sz w:val="20"/>
                <w:szCs w:val="20"/>
              </w:rPr>
            </w:pPr>
            <w:r w:rsidRPr="00490C15">
              <w:rPr>
                <w:rFonts w:ascii="Arial" w:eastAsia="Times New Roman" w:hAnsi="Arial" w:cs="Arial"/>
                <w:sz w:val="20"/>
                <w:szCs w:val="20"/>
              </w:rPr>
              <w:t>0.78%</w:t>
            </w:r>
          </w:p>
        </w:tc>
      </w:tr>
    </w:tbl>
    <w:p w14:paraId="4F5CC111" w14:textId="77777777" w:rsidR="006E0B89" w:rsidRPr="006507A9" w:rsidRDefault="006E0B89">
      <w:pPr>
        <w:rPr>
          <w:b/>
          <w:sz w:val="24"/>
          <w:szCs w:val="24"/>
        </w:rPr>
      </w:pPr>
    </w:p>
    <w:p w14:paraId="346793F3" w14:textId="2485EE81" w:rsidR="00DA5646" w:rsidRDefault="00D67EEB" w:rsidP="00D67EEB">
      <w:pPr>
        <w:rPr>
          <w:b/>
          <w:sz w:val="32"/>
          <w:szCs w:val="32"/>
        </w:rPr>
      </w:pPr>
      <w:r w:rsidRPr="0058559F">
        <w:rPr>
          <w:b/>
          <w:sz w:val="32"/>
          <w:szCs w:val="32"/>
        </w:rPr>
        <w:t xml:space="preserve">Portfolio Asset Allocation as </w:t>
      </w:r>
      <w:r>
        <w:rPr>
          <w:b/>
          <w:sz w:val="32"/>
          <w:szCs w:val="32"/>
        </w:rPr>
        <w:t>o</w:t>
      </w:r>
      <w:r w:rsidRPr="0058559F">
        <w:rPr>
          <w:b/>
          <w:sz w:val="32"/>
          <w:szCs w:val="32"/>
        </w:rPr>
        <w:t xml:space="preserve">f June 30th, </w:t>
      </w:r>
      <w:r w:rsidR="00490C15">
        <w:rPr>
          <w:b/>
          <w:sz w:val="32"/>
          <w:szCs w:val="32"/>
        </w:rPr>
        <w:t>2023</w:t>
      </w:r>
    </w:p>
    <w:p w14:paraId="04A3A4E7" w14:textId="1317AE9F" w:rsidR="0075245B" w:rsidRDefault="00490C15" w:rsidP="00D67EEB">
      <w:pPr>
        <w:rPr>
          <w:b/>
          <w:sz w:val="32"/>
          <w:szCs w:val="32"/>
        </w:rPr>
      </w:pPr>
      <w:r>
        <w:rPr>
          <w:noProof/>
        </w:rPr>
        <w:drawing>
          <wp:inline distT="0" distB="0" distL="0" distR="0" wp14:anchorId="28F6B3CA" wp14:editId="2F96364C">
            <wp:extent cx="5943600" cy="3200400"/>
            <wp:effectExtent l="0" t="0" r="0" b="0"/>
            <wp:docPr id="1568803585" name="Chart 1">
              <a:extLst xmlns:a="http://schemas.openxmlformats.org/drawingml/2006/main">
                <a:ext uri="{FF2B5EF4-FFF2-40B4-BE49-F238E27FC236}">
                  <a16:creationId xmlns:a16="http://schemas.microsoft.com/office/drawing/2014/main" id="{00000000-0008-0000-0200-0000F0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F1E7786" w14:textId="77777777" w:rsidR="006739E3" w:rsidRDefault="006739E3" w:rsidP="001F35C7">
      <w:pPr>
        <w:rPr>
          <w:rFonts w:cstheme="minorHAnsi"/>
          <w:b/>
          <w:sz w:val="32"/>
          <w:szCs w:val="32"/>
        </w:rPr>
      </w:pPr>
    </w:p>
    <w:p w14:paraId="5038B881" w14:textId="6FB07251" w:rsidR="001F35C7" w:rsidRDefault="001F35C7" w:rsidP="001F35C7">
      <w:pPr>
        <w:rPr>
          <w:rFonts w:cstheme="minorHAnsi"/>
          <w:b/>
          <w:sz w:val="32"/>
          <w:szCs w:val="32"/>
        </w:rPr>
      </w:pPr>
      <w:r w:rsidRPr="00560D95">
        <w:rPr>
          <w:rFonts w:cstheme="minorHAnsi"/>
          <w:b/>
          <w:sz w:val="32"/>
          <w:szCs w:val="32"/>
        </w:rPr>
        <w:t>LEQTF Allocation Performance vs.</w:t>
      </w:r>
      <w:r>
        <w:rPr>
          <w:rFonts w:cstheme="minorHAnsi"/>
          <w:b/>
          <w:sz w:val="32"/>
          <w:szCs w:val="32"/>
        </w:rPr>
        <w:t xml:space="preserve"> Internal</w:t>
      </w:r>
      <w:r w:rsidRPr="00560D95">
        <w:rPr>
          <w:rFonts w:cstheme="minorHAnsi"/>
          <w:b/>
          <w:sz w:val="32"/>
          <w:szCs w:val="32"/>
        </w:rPr>
        <w:t xml:space="preserve"> Benchmark Performance</w:t>
      </w:r>
    </w:p>
    <w:tbl>
      <w:tblPr>
        <w:tblW w:w="9060" w:type="dxa"/>
        <w:tblLook w:val="04A0" w:firstRow="1" w:lastRow="0" w:firstColumn="1" w:lastColumn="0" w:noHBand="0" w:noVBand="1"/>
      </w:tblPr>
      <w:tblGrid>
        <w:gridCol w:w="2640"/>
        <w:gridCol w:w="900"/>
        <w:gridCol w:w="1140"/>
        <w:gridCol w:w="947"/>
        <w:gridCol w:w="2300"/>
        <w:gridCol w:w="1156"/>
      </w:tblGrid>
      <w:tr w:rsidR="002C61EA" w:rsidRPr="002C61EA" w14:paraId="0D5742F5" w14:textId="77777777" w:rsidTr="002C61EA">
        <w:trPr>
          <w:trHeight w:val="510"/>
        </w:trPr>
        <w:tc>
          <w:tcPr>
            <w:tcW w:w="26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BFEFDB" w14:textId="77777777" w:rsidR="002C61EA" w:rsidRPr="002C61EA" w:rsidRDefault="002C61EA" w:rsidP="002C61EA">
            <w:pPr>
              <w:rPr>
                <w:rFonts w:ascii="Calibri" w:eastAsia="Times New Roman" w:hAnsi="Calibri" w:cs="Calibri"/>
                <w:sz w:val="20"/>
                <w:szCs w:val="20"/>
              </w:rPr>
            </w:pPr>
            <w:r w:rsidRPr="002C61EA">
              <w:rPr>
                <w:rFonts w:ascii="Calibri" w:eastAsia="Times New Roman" w:hAnsi="Calibri" w:cs="Calibri"/>
                <w:sz w:val="20"/>
                <w:szCs w:val="20"/>
              </w:rPr>
              <w:t>Portfolio Investments</w:t>
            </w:r>
          </w:p>
        </w:tc>
        <w:tc>
          <w:tcPr>
            <w:tcW w:w="900" w:type="dxa"/>
            <w:tcBorders>
              <w:top w:val="single" w:sz="4" w:space="0" w:color="auto"/>
              <w:left w:val="nil"/>
              <w:bottom w:val="single" w:sz="4" w:space="0" w:color="auto"/>
              <w:right w:val="single" w:sz="4" w:space="0" w:color="auto"/>
            </w:tcBorders>
            <w:shd w:val="clear" w:color="auto" w:fill="auto"/>
            <w:vAlign w:val="bottom"/>
            <w:hideMark/>
          </w:tcPr>
          <w:p w14:paraId="49619E04" w14:textId="77777777" w:rsidR="002C61EA" w:rsidRPr="002C61EA" w:rsidRDefault="002C61EA" w:rsidP="002C61EA">
            <w:pPr>
              <w:jc w:val="center"/>
              <w:rPr>
                <w:rFonts w:ascii="Calibri" w:eastAsia="Times New Roman" w:hAnsi="Calibri" w:cs="Calibri"/>
                <w:sz w:val="20"/>
                <w:szCs w:val="20"/>
              </w:rPr>
            </w:pPr>
            <w:r w:rsidRPr="002C61EA">
              <w:rPr>
                <w:rFonts w:ascii="Calibri" w:eastAsia="Times New Roman" w:hAnsi="Calibri" w:cs="Calibri"/>
                <w:sz w:val="20"/>
                <w:szCs w:val="20"/>
              </w:rPr>
              <w:t xml:space="preserve">  $ Millions  </w:t>
            </w:r>
          </w:p>
        </w:tc>
        <w:tc>
          <w:tcPr>
            <w:tcW w:w="1140" w:type="dxa"/>
            <w:tcBorders>
              <w:top w:val="single" w:sz="4" w:space="0" w:color="auto"/>
              <w:left w:val="nil"/>
              <w:bottom w:val="single" w:sz="4" w:space="0" w:color="auto"/>
              <w:right w:val="single" w:sz="4" w:space="0" w:color="auto"/>
            </w:tcBorders>
            <w:shd w:val="clear" w:color="auto" w:fill="auto"/>
            <w:vAlign w:val="bottom"/>
            <w:hideMark/>
          </w:tcPr>
          <w:p w14:paraId="40F7EA27" w14:textId="77777777" w:rsidR="002C61EA" w:rsidRPr="002C61EA" w:rsidRDefault="002C61EA" w:rsidP="002C61EA">
            <w:pPr>
              <w:jc w:val="center"/>
              <w:rPr>
                <w:rFonts w:ascii="Calibri" w:eastAsia="Times New Roman" w:hAnsi="Calibri" w:cs="Calibri"/>
                <w:sz w:val="20"/>
                <w:szCs w:val="20"/>
              </w:rPr>
            </w:pPr>
            <w:r w:rsidRPr="002C61EA">
              <w:rPr>
                <w:rFonts w:ascii="Calibri" w:eastAsia="Times New Roman" w:hAnsi="Calibri" w:cs="Calibri"/>
                <w:sz w:val="20"/>
                <w:szCs w:val="20"/>
              </w:rPr>
              <w:t>Portfolio % Allocation</w:t>
            </w:r>
          </w:p>
        </w:tc>
        <w:tc>
          <w:tcPr>
            <w:tcW w:w="940" w:type="dxa"/>
            <w:tcBorders>
              <w:top w:val="single" w:sz="4" w:space="0" w:color="auto"/>
              <w:left w:val="nil"/>
              <w:bottom w:val="single" w:sz="4" w:space="0" w:color="auto"/>
              <w:right w:val="single" w:sz="4" w:space="0" w:color="auto"/>
            </w:tcBorders>
            <w:shd w:val="clear" w:color="auto" w:fill="auto"/>
            <w:vAlign w:val="bottom"/>
            <w:hideMark/>
          </w:tcPr>
          <w:p w14:paraId="01DEA6D3" w14:textId="77777777" w:rsidR="002C61EA" w:rsidRPr="002C61EA" w:rsidRDefault="002C61EA" w:rsidP="002C61EA">
            <w:pPr>
              <w:jc w:val="center"/>
              <w:rPr>
                <w:rFonts w:ascii="Calibri" w:eastAsia="Times New Roman" w:hAnsi="Calibri" w:cs="Calibri"/>
                <w:b/>
                <w:bCs/>
                <w:sz w:val="20"/>
                <w:szCs w:val="20"/>
              </w:rPr>
            </w:pPr>
            <w:r w:rsidRPr="002C61EA">
              <w:rPr>
                <w:rFonts w:ascii="Calibri" w:eastAsia="Times New Roman" w:hAnsi="Calibri" w:cs="Calibri"/>
                <w:b/>
                <w:bCs/>
                <w:sz w:val="20"/>
                <w:szCs w:val="20"/>
              </w:rPr>
              <w:t>Portfolio Return</w:t>
            </w:r>
          </w:p>
        </w:tc>
        <w:tc>
          <w:tcPr>
            <w:tcW w:w="2300" w:type="dxa"/>
            <w:tcBorders>
              <w:top w:val="single" w:sz="4" w:space="0" w:color="auto"/>
              <w:left w:val="nil"/>
              <w:bottom w:val="single" w:sz="4" w:space="0" w:color="auto"/>
              <w:right w:val="single" w:sz="4" w:space="0" w:color="auto"/>
            </w:tcBorders>
            <w:shd w:val="clear" w:color="auto" w:fill="auto"/>
            <w:vAlign w:val="bottom"/>
            <w:hideMark/>
          </w:tcPr>
          <w:p w14:paraId="55B29929" w14:textId="77777777" w:rsidR="002C61EA" w:rsidRPr="002C61EA" w:rsidRDefault="002C61EA" w:rsidP="002C61EA">
            <w:pPr>
              <w:jc w:val="center"/>
              <w:rPr>
                <w:rFonts w:ascii="Calibri" w:eastAsia="Times New Roman" w:hAnsi="Calibri" w:cs="Calibri"/>
                <w:sz w:val="20"/>
                <w:szCs w:val="20"/>
              </w:rPr>
            </w:pPr>
            <w:r w:rsidRPr="002C61EA">
              <w:rPr>
                <w:rFonts w:ascii="Calibri" w:eastAsia="Times New Roman" w:hAnsi="Calibri" w:cs="Calibri"/>
                <w:sz w:val="20"/>
                <w:szCs w:val="20"/>
              </w:rPr>
              <w:t>Benchmark</w:t>
            </w:r>
          </w:p>
        </w:tc>
        <w:tc>
          <w:tcPr>
            <w:tcW w:w="1140" w:type="dxa"/>
            <w:tcBorders>
              <w:top w:val="single" w:sz="4" w:space="0" w:color="auto"/>
              <w:left w:val="nil"/>
              <w:bottom w:val="single" w:sz="4" w:space="0" w:color="auto"/>
              <w:right w:val="single" w:sz="4" w:space="0" w:color="auto"/>
            </w:tcBorders>
            <w:shd w:val="clear" w:color="auto" w:fill="auto"/>
            <w:vAlign w:val="bottom"/>
            <w:hideMark/>
          </w:tcPr>
          <w:p w14:paraId="3FAA8FB1" w14:textId="77777777" w:rsidR="002C61EA" w:rsidRPr="002C61EA" w:rsidRDefault="002C61EA" w:rsidP="002C61EA">
            <w:pPr>
              <w:jc w:val="center"/>
              <w:rPr>
                <w:rFonts w:ascii="Calibri" w:eastAsia="Times New Roman" w:hAnsi="Calibri" w:cs="Calibri"/>
                <w:b/>
                <w:bCs/>
                <w:sz w:val="20"/>
                <w:szCs w:val="20"/>
              </w:rPr>
            </w:pPr>
            <w:r w:rsidRPr="002C61EA">
              <w:rPr>
                <w:rFonts w:ascii="Calibri" w:eastAsia="Times New Roman" w:hAnsi="Calibri" w:cs="Calibri"/>
                <w:b/>
                <w:bCs/>
                <w:sz w:val="20"/>
                <w:szCs w:val="20"/>
              </w:rPr>
              <w:t>Benchmark Return</w:t>
            </w:r>
          </w:p>
        </w:tc>
      </w:tr>
      <w:tr w:rsidR="002C61EA" w:rsidRPr="002C61EA" w14:paraId="658833F7" w14:textId="77777777" w:rsidTr="006507A9">
        <w:tc>
          <w:tcPr>
            <w:tcW w:w="2640" w:type="dxa"/>
            <w:tcBorders>
              <w:top w:val="nil"/>
              <w:left w:val="single" w:sz="4" w:space="0" w:color="auto"/>
              <w:bottom w:val="single" w:sz="4" w:space="0" w:color="auto"/>
              <w:right w:val="single" w:sz="4" w:space="0" w:color="auto"/>
            </w:tcBorders>
            <w:shd w:val="clear" w:color="auto" w:fill="auto"/>
            <w:noWrap/>
            <w:vAlign w:val="bottom"/>
            <w:hideMark/>
          </w:tcPr>
          <w:p w14:paraId="67B079AF" w14:textId="77777777" w:rsidR="002C61EA" w:rsidRPr="002C61EA" w:rsidRDefault="002C61EA" w:rsidP="002C61EA">
            <w:pPr>
              <w:rPr>
                <w:rFonts w:ascii="Calibri" w:eastAsia="Times New Roman" w:hAnsi="Calibri" w:cs="Calibri"/>
                <w:sz w:val="20"/>
                <w:szCs w:val="20"/>
              </w:rPr>
            </w:pPr>
            <w:r w:rsidRPr="002C61EA">
              <w:rPr>
                <w:rFonts w:ascii="Calibri" w:eastAsia="Times New Roman" w:hAnsi="Calibri" w:cs="Calibri"/>
                <w:sz w:val="20"/>
                <w:szCs w:val="20"/>
              </w:rPr>
              <w:t xml:space="preserve">Vanguard Total </w:t>
            </w:r>
            <w:proofErr w:type="spellStart"/>
            <w:r w:rsidRPr="002C61EA">
              <w:rPr>
                <w:rFonts w:ascii="Calibri" w:eastAsia="Times New Roman" w:hAnsi="Calibri" w:cs="Calibri"/>
                <w:sz w:val="20"/>
                <w:szCs w:val="20"/>
              </w:rPr>
              <w:t>Intn'l</w:t>
            </w:r>
            <w:proofErr w:type="spellEnd"/>
            <w:r w:rsidRPr="002C61EA">
              <w:rPr>
                <w:rFonts w:ascii="Calibri" w:eastAsia="Times New Roman" w:hAnsi="Calibri" w:cs="Calibri"/>
                <w:sz w:val="20"/>
                <w:szCs w:val="20"/>
              </w:rPr>
              <w:t xml:space="preserve"> Index</w:t>
            </w:r>
          </w:p>
        </w:tc>
        <w:tc>
          <w:tcPr>
            <w:tcW w:w="900" w:type="dxa"/>
            <w:tcBorders>
              <w:top w:val="nil"/>
              <w:left w:val="nil"/>
              <w:bottom w:val="single" w:sz="4" w:space="0" w:color="auto"/>
              <w:right w:val="single" w:sz="4" w:space="0" w:color="auto"/>
            </w:tcBorders>
            <w:shd w:val="clear" w:color="auto" w:fill="auto"/>
            <w:noWrap/>
            <w:vAlign w:val="bottom"/>
            <w:hideMark/>
          </w:tcPr>
          <w:p w14:paraId="78390FC1" w14:textId="0BBA2B0B" w:rsidR="002C61EA" w:rsidRPr="002C61EA" w:rsidRDefault="002C61EA" w:rsidP="002C61EA">
            <w:pPr>
              <w:jc w:val="right"/>
              <w:rPr>
                <w:rFonts w:ascii="Calibri" w:eastAsia="Times New Roman" w:hAnsi="Calibri" w:cs="Calibri"/>
                <w:sz w:val="20"/>
                <w:szCs w:val="20"/>
              </w:rPr>
            </w:pPr>
            <w:r w:rsidRPr="002C61EA">
              <w:rPr>
                <w:rFonts w:ascii="Calibri" w:eastAsia="Times New Roman" w:hAnsi="Calibri" w:cs="Calibri"/>
                <w:sz w:val="20"/>
                <w:szCs w:val="20"/>
              </w:rPr>
              <w:t xml:space="preserve">127.1 </w:t>
            </w:r>
          </w:p>
        </w:tc>
        <w:tc>
          <w:tcPr>
            <w:tcW w:w="1140" w:type="dxa"/>
            <w:tcBorders>
              <w:top w:val="nil"/>
              <w:left w:val="nil"/>
              <w:bottom w:val="single" w:sz="4" w:space="0" w:color="auto"/>
              <w:right w:val="single" w:sz="4" w:space="0" w:color="auto"/>
            </w:tcBorders>
            <w:shd w:val="clear" w:color="auto" w:fill="auto"/>
            <w:noWrap/>
            <w:vAlign w:val="bottom"/>
            <w:hideMark/>
          </w:tcPr>
          <w:p w14:paraId="401E4F82" w14:textId="77777777" w:rsidR="002C61EA" w:rsidRPr="002C61EA" w:rsidRDefault="002C61EA" w:rsidP="002C61EA">
            <w:pPr>
              <w:jc w:val="right"/>
              <w:rPr>
                <w:rFonts w:ascii="Calibri" w:eastAsia="Times New Roman" w:hAnsi="Calibri" w:cs="Calibri"/>
                <w:sz w:val="20"/>
                <w:szCs w:val="20"/>
              </w:rPr>
            </w:pPr>
            <w:r w:rsidRPr="002C61EA">
              <w:rPr>
                <w:rFonts w:ascii="Calibri" w:eastAsia="Times New Roman" w:hAnsi="Calibri" w:cs="Calibri"/>
                <w:sz w:val="20"/>
                <w:szCs w:val="20"/>
              </w:rPr>
              <w:t>7.39%</w:t>
            </w:r>
          </w:p>
        </w:tc>
        <w:tc>
          <w:tcPr>
            <w:tcW w:w="940" w:type="dxa"/>
            <w:tcBorders>
              <w:top w:val="nil"/>
              <w:left w:val="nil"/>
              <w:bottom w:val="single" w:sz="4" w:space="0" w:color="auto"/>
              <w:right w:val="single" w:sz="4" w:space="0" w:color="auto"/>
            </w:tcBorders>
            <w:shd w:val="clear" w:color="auto" w:fill="auto"/>
            <w:noWrap/>
            <w:vAlign w:val="bottom"/>
            <w:hideMark/>
          </w:tcPr>
          <w:p w14:paraId="65DCF362" w14:textId="77777777" w:rsidR="002C61EA" w:rsidRPr="002C61EA" w:rsidRDefault="002C61EA" w:rsidP="002C61EA">
            <w:pPr>
              <w:jc w:val="right"/>
              <w:rPr>
                <w:rFonts w:ascii="Calibri" w:eastAsia="Times New Roman" w:hAnsi="Calibri" w:cs="Calibri"/>
                <w:b/>
                <w:bCs/>
                <w:sz w:val="20"/>
                <w:szCs w:val="20"/>
              </w:rPr>
            </w:pPr>
            <w:r w:rsidRPr="002C61EA">
              <w:rPr>
                <w:rFonts w:ascii="Calibri" w:eastAsia="Times New Roman" w:hAnsi="Calibri" w:cs="Calibri"/>
                <w:b/>
                <w:bCs/>
                <w:sz w:val="20"/>
                <w:szCs w:val="20"/>
              </w:rPr>
              <w:t>12.52%</w:t>
            </w:r>
          </w:p>
        </w:tc>
        <w:tc>
          <w:tcPr>
            <w:tcW w:w="2300" w:type="dxa"/>
            <w:tcBorders>
              <w:top w:val="nil"/>
              <w:left w:val="nil"/>
              <w:bottom w:val="single" w:sz="4" w:space="0" w:color="auto"/>
              <w:right w:val="single" w:sz="4" w:space="0" w:color="auto"/>
            </w:tcBorders>
            <w:shd w:val="clear" w:color="auto" w:fill="auto"/>
            <w:noWrap/>
            <w:vAlign w:val="bottom"/>
            <w:hideMark/>
          </w:tcPr>
          <w:p w14:paraId="6871E98A" w14:textId="77777777" w:rsidR="002C61EA" w:rsidRPr="002C61EA" w:rsidRDefault="002C61EA" w:rsidP="002C61EA">
            <w:pPr>
              <w:rPr>
                <w:rFonts w:ascii="Calibri" w:eastAsia="Times New Roman" w:hAnsi="Calibri" w:cs="Calibri"/>
                <w:sz w:val="20"/>
                <w:szCs w:val="20"/>
              </w:rPr>
            </w:pPr>
            <w:r w:rsidRPr="002C61EA">
              <w:rPr>
                <w:rFonts w:ascii="Calibri" w:eastAsia="Times New Roman" w:hAnsi="Calibri" w:cs="Calibri"/>
                <w:sz w:val="20"/>
                <w:szCs w:val="20"/>
              </w:rPr>
              <w:t>MSCI ACWI ex US</w:t>
            </w:r>
          </w:p>
        </w:tc>
        <w:tc>
          <w:tcPr>
            <w:tcW w:w="1140" w:type="dxa"/>
            <w:tcBorders>
              <w:top w:val="nil"/>
              <w:left w:val="nil"/>
              <w:bottom w:val="single" w:sz="4" w:space="0" w:color="auto"/>
              <w:right w:val="single" w:sz="4" w:space="0" w:color="auto"/>
            </w:tcBorders>
            <w:shd w:val="clear" w:color="auto" w:fill="auto"/>
            <w:noWrap/>
            <w:vAlign w:val="bottom"/>
            <w:hideMark/>
          </w:tcPr>
          <w:p w14:paraId="75194565" w14:textId="77777777" w:rsidR="002C61EA" w:rsidRPr="002C61EA" w:rsidRDefault="002C61EA" w:rsidP="002C61EA">
            <w:pPr>
              <w:jc w:val="right"/>
              <w:rPr>
                <w:rFonts w:ascii="Calibri" w:eastAsia="Times New Roman" w:hAnsi="Calibri" w:cs="Calibri"/>
                <w:b/>
                <w:bCs/>
                <w:sz w:val="20"/>
                <w:szCs w:val="20"/>
              </w:rPr>
            </w:pPr>
            <w:r w:rsidRPr="002C61EA">
              <w:rPr>
                <w:rFonts w:ascii="Calibri" w:eastAsia="Times New Roman" w:hAnsi="Calibri" w:cs="Calibri"/>
                <w:b/>
                <w:bCs/>
                <w:sz w:val="20"/>
                <w:szCs w:val="20"/>
              </w:rPr>
              <w:t>14.25%</w:t>
            </w:r>
          </w:p>
        </w:tc>
      </w:tr>
      <w:tr w:rsidR="002C61EA" w:rsidRPr="002C61EA" w14:paraId="20AFC71E" w14:textId="77777777" w:rsidTr="006507A9">
        <w:tc>
          <w:tcPr>
            <w:tcW w:w="2640" w:type="dxa"/>
            <w:tcBorders>
              <w:top w:val="nil"/>
              <w:left w:val="single" w:sz="4" w:space="0" w:color="auto"/>
              <w:bottom w:val="single" w:sz="4" w:space="0" w:color="auto"/>
              <w:right w:val="single" w:sz="4" w:space="0" w:color="auto"/>
            </w:tcBorders>
            <w:shd w:val="clear" w:color="auto" w:fill="auto"/>
            <w:noWrap/>
            <w:vAlign w:val="bottom"/>
            <w:hideMark/>
          </w:tcPr>
          <w:p w14:paraId="353E89BC" w14:textId="77777777" w:rsidR="002C61EA" w:rsidRPr="002C61EA" w:rsidRDefault="002C61EA" w:rsidP="002C61EA">
            <w:pPr>
              <w:rPr>
                <w:rFonts w:ascii="Calibri" w:eastAsia="Times New Roman" w:hAnsi="Calibri" w:cs="Calibri"/>
                <w:sz w:val="20"/>
                <w:szCs w:val="20"/>
              </w:rPr>
            </w:pPr>
            <w:r w:rsidRPr="002C61EA">
              <w:rPr>
                <w:rFonts w:ascii="Calibri" w:eastAsia="Times New Roman" w:hAnsi="Calibri" w:cs="Calibri"/>
                <w:sz w:val="20"/>
                <w:szCs w:val="20"/>
              </w:rPr>
              <w:t>Vanguard Total U.S. Index</w:t>
            </w:r>
          </w:p>
        </w:tc>
        <w:tc>
          <w:tcPr>
            <w:tcW w:w="900" w:type="dxa"/>
            <w:tcBorders>
              <w:top w:val="nil"/>
              <w:left w:val="nil"/>
              <w:bottom w:val="single" w:sz="4" w:space="0" w:color="auto"/>
              <w:right w:val="single" w:sz="4" w:space="0" w:color="auto"/>
            </w:tcBorders>
            <w:shd w:val="clear" w:color="auto" w:fill="auto"/>
            <w:noWrap/>
            <w:vAlign w:val="bottom"/>
            <w:hideMark/>
          </w:tcPr>
          <w:p w14:paraId="3B36C691" w14:textId="74F6E39A" w:rsidR="002C61EA" w:rsidRPr="002C61EA" w:rsidRDefault="002C61EA" w:rsidP="002C61EA">
            <w:pPr>
              <w:jc w:val="right"/>
              <w:rPr>
                <w:rFonts w:ascii="Calibri" w:eastAsia="Times New Roman" w:hAnsi="Calibri" w:cs="Calibri"/>
                <w:sz w:val="20"/>
                <w:szCs w:val="20"/>
              </w:rPr>
            </w:pPr>
            <w:r w:rsidRPr="002C61EA">
              <w:rPr>
                <w:rFonts w:ascii="Calibri" w:eastAsia="Times New Roman" w:hAnsi="Calibri" w:cs="Calibri"/>
                <w:sz w:val="20"/>
                <w:szCs w:val="20"/>
              </w:rPr>
              <w:t xml:space="preserve">236.5 </w:t>
            </w:r>
          </w:p>
        </w:tc>
        <w:tc>
          <w:tcPr>
            <w:tcW w:w="1140" w:type="dxa"/>
            <w:tcBorders>
              <w:top w:val="nil"/>
              <w:left w:val="nil"/>
              <w:bottom w:val="single" w:sz="4" w:space="0" w:color="auto"/>
              <w:right w:val="single" w:sz="4" w:space="0" w:color="auto"/>
            </w:tcBorders>
            <w:shd w:val="clear" w:color="auto" w:fill="auto"/>
            <w:noWrap/>
            <w:vAlign w:val="bottom"/>
            <w:hideMark/>
          </w:tcPr>
          <w:p w14:paraId="3F6C7747" w14:textId="77777777" w:rsidR="002C61EA" w:rsidRPr="002C61EA" w:rsidRDefault="002C61EA" w:rsidP="002C61EA">
            <w:pPr>
              <w:jc w:val="right"/>
              <w:rPr>
                <w:rFonts w:ascii="Calibri" w:eastAsia="Times New Roman" w:hAnsi="Calibri" w:cs="Calibri"/>
                <w:sz w:val="20"/>
                <w:szCs w:val="20"/>
              </w:rPr>
            </w:pPr>
            <w:r w:rsidRPr="002C61EA">
              <w:rPr>
                <w:rFonts w:ascii="Calibri" w:eastAsia="Times New Roman" w:hAnsi="Calibri" w:cs="Calibri"/>
                <w:sz w:val="20"/>
                <w:szCs w:val="20"/>
              </w:rPr>
              <w:t>13.00%</w:t>
            </w:r>
          </w:p>
        </w:tc>
        <w:tc>
          <w:tcPr>
            <w:tcW w:w="940" w:type="dxa"/>
            <w:tcBorders>
              <w:top w:val="nil"/>
              <w:left w:val="nil"/>
              <w:bottom w:val="single" w:sz="4" w:space="0" w:color="auto"/>
              <w:right w:val="single" w:sz="4" w:space="0" w:color="auto"/>
            </w:tcBorders>
            <w:shd w:val="clear" w:color="auto" w:fill="auto"/>
            <w:noWrap/>
            <w:vAlign w:val="bottom"/>
            <w:hideMark/>
          </w:tcPr>
          <w:p w14:paraId="3F28A706" w14:textId="77777777" w:rsidR="002C61EA" w:rsidRPr="002C61EA" w:rsidRDefault="002C61EA" w:rsidP="002C61EA">
            <w:pPr>
              <w:jc w:val="right"/>
              <w:rPr>
                <w:rFonts w:ascii="Calibri" w:eastAsia="Times New Roman" w:hAnsi="Calibri" w:cs="Calibri"/>
                <w:b/>
                <w:bCs/>
                <w:sz w:val="20"/>
                <w:szCs w:val="20"/>
              </w:rPr>
            </w:pPr>
            <w:r w:rsidRPr="002C61EA">
              <w:rPr>
                <w:rFonts w:ascii="Calibri" w:eastAsia="Times New Roman" w:hAnsi="Calibri" w:cs="Calibri"/>
                <w:b/>
                <w:bCs/>
                <w:sz w:val="20"/>
                <w:szCs w:val="20"/>
              </w:rPr>
              <w:t>17.62%</w:t>
            </w:r>
          </w:p>
        </w:tc>
        <w:tc>
          <w:tcPr>
            <w:tcW w:w="2300" w:type="dxa"/>
            <w:tcBorders>
              <w:top w:val="nil"/>
              <w:left w:val="nil"/>
              <w:bottom w:val="single" w:sz="4" w:space="0" w:color="auto"/>
              <w:right w:val="single" w:sz="4" w:space="0" w:color="auto"/>
            </w:tcBorders>
            <w:shd w:val="clear" w:color="auto" w:fill="auto"/>
            <w:noWrap/>
            <w:vAlign w:val="bottom"/>
            <w:hideMark/>
          </w:tcPr>
          <w:p w14:paraId="159C6EEB" w14:textId="77777777" w:rsidR="002C61EA" w:rsidRPr="002C61EA" w:rsidRDefault="002C61EA" w:rsidP="002C61EA">
            <w:pPr>
              <w:rPr>
                <w:rFonts w:ascii="Calibri" w:eastAsia="Times New Roman" w:hAnsi="Calibri" w:cs="Calibri"/>
                <w:sz w:val="20"/>
                <w:szCs w:val="20"/>
              </w:rPr>
            </w:pPr>
            <w:r w:rsidRPr="002C61EA">
              <w:rPr>
                <w:rFonts w:ascii="Calibri" w:eastAsia="Times New Roman" w:hAnsi="Calibri" w:cs="Calibri"/>
                <w:sz w:val="20"/>
                <w:szCs w:val="20"/>
              </w:rPr>
              <w:t>Wilshire 5000</w:t>
            </w:r>
          </w:p>
        </w:tc>
        <w:tc>
          <w:tcPr>
            <w:tcW w:w="1140" w:type="dxa"/>
            <w:tcBorders>
              <w:top w:val="nil"/>
              <w:left w:val="nil"/>
              <w:bottom w:val="single" w:sz="4" w:space="0" w:color="auto"/>
              <w:right w:val="single" w:sz="4" w:space="0" w:color="auto"/>
            </w:tcBorders>
            <w:shd w:val="clear" w:color="auto" w:fill="auto"/>
            <w:noWrap/>
            <w:vAlign w:val="bottom"/>
            <w:hideMark/>
          </w:tcPr>
          <w:p w14:paraId="2D57E9C4" w14:textId="77777777" w:rsidR="002C61EA" w:rsidRPr="002C61EA" w:rsidRDefault="002C61EA" w:rsidP="002C61EA">
            <w:pPr>
              <w:jc w:val="right"/>
              <w:rPr>
                <w:rFonts w:ascii="Calibri" w:eastAsia="Times New Roman" w:hAnsi="Calibri" w:cs="Calibri"/>
                <w:b/>
                <w:bCs/>
                <w:sz w:val="20"/>
                <w:szCs w:val="20"/>
              </w:rPr>
            </w:pPr>
            <w:r w:rsidRPr="002C61EA">
              <w:rPr>
                <w:rFonts w:ascii="Calibri" w:eastAsia="Times New Roman" w:hAnsi="Calibri" w:cs="Calibri"/>
                <w:b/>
                <w:bCs/>
                <w:sz w:val="20"/>
                <w:szCs w:val="20"/>
              </w:rPr>
              <w:t>9.25%</w:t>
            </w:r>
          </w:p>
        </w:tc>
      </w:tr>
      <w:tr w:rsidR="002C61EA" w:rsidRPr="002C61EA" w14:paraId="4BEF60AD" w14:textId="77777777" w:rsidTr="006507A9">
        <w:tc>
          <w:tcPr>
            <w:tcW w:w="2640" w:type="dxa"/>
            <w:tcBorders>
              <w:top w:val="nil"/>
              <w:left w:val="single" w:sz="4" w:space="0" w:color="auto"/>
              <w:bottom w:val="single" w:sz="4" w:space="0" w:color="auto"/>
              <w:right w:val="single" w:sz="4" w:space="0" w:color="auto"/>
            </w:tcBorders>
            <w:shd w:val="clear" w:color="auto" w:fill="auto"/>
            <w:noWrap/>
            <w:vAlign w:val="bottom"/>
            <w:hideMark/>
          </w:tcPr>
          <w:p w14:paraId="1276853F" w14:textId="77777777" w:rsidR="002C61EA" w:rsidRPr="002C61EA" w:rsidRDefault="002C61EA" w:rsidP="002C61EA">
            <w:pPr>
              <w:rPr>
                <w:rFonts w:ascii="Calibri" w:eastAsia="Times New Roman" w:hAnsi="Calibri" w:cs="Calibri"/>
                <w:sz w:val="20"/>
                <w:szCs w:val="20"/>
              </w:rPr>
            </w:pPr>
            <w:r w:rsidRPr="002C61EA">
              <w:rPr>
                <w:rFonts w:ascii="Calibri" w:eastAsia="Times New Roman" w:hAnsi="Calibri" w:cs="Calibri"/>
                <w:sz w:val="20"/>
                <w:szCs w:val="20"/>
              </w:rPr>
              <w:t>Dividend Stocks</w:t>
            </w:r>
          </w:p>
        </w:tc>
        <w:tc>
          <w:tcPr>
            <w:tcW w:w="900" w:type="dxa"/>
            <w:tcBorders>
              <w:top w:val="nil"/>
              <w:left w:val="nil"/>
              <w:bottom w:val="single" w:sz="4" w:space="0" w:color="auto"/>
              <w:right w:val="single" w:sz="4" w:space="0" w:color="auto"/>
            </w:tcBorders>
            <w:shd w:val="clear" w:color="auto" w:fill="auto"/>
            <w:noWrap/>
            <w:vAlign w:val="bottom"/>
            <w:hideMark/>
          </w:tcPr>
          <w:p w14:paraId="67E26FF7" w14:textId="24B28F68" w:rsidR="002C61EA" w:rsidRPr="002C61EA" w:rsidRDefault="002C61EA" w:rsidP="002C61EA">
            <w:pPr>
              <w:jc w:val="right"/>
              <w:rPr>
                <w:rFonts w:ascii="Calibri" w:eastAsia="Times New Roman" w:hAnsi="Calibri" w:cs="Calibri"/>
                <w:sz w:val="20"/>
                <w:szCs w:val="20"/>
              </w:rPr>
            </w:pPr>
            <w:r w:rsidRPr="002C61EA">
              <w:rPr>
                <w:rFonts w:ascii="Calibri" w:eastAsia="Times New Roman" w:hAnsi="Calibri" w:cs="Calibri"/>
                <w:sz w:val="20"/>
                <w:szCs w:val="20"/>
              </w:rPr>
              <w:t xml:space="preserve">170.1 </w:t>
            </w:r>
          </w:p>
        </w:tc>
        <w:tc>
          <w:tcPr>
            <w:tcW w:w="1140" w:type="dxa"/>
            <w:tcBorders>
              <w:top w:val="nil"/>
              <w:left w:val="nil"/>
              <w:bottom w:val="single" w:sz="4" w:space="0" w:color="auto"/>
              <w:right w:val="single" w:sz="4" w:space="0" w:color="auto"/>
            </w:tcBorders>
            <w:shd w:val="clear" w:color="auto" w:fill="auto"/>
            <w:noWrap/>
            <w:vAlign w:val="bottom"/>
            <w:hideMark/>
          </w:tcPr>
          <w:p w14:paraId="74EE4BC4" w14:textId="77777777" w:rsidR="002C61EA" w:rsidRPr="002C61EA" w:rsidRDefault="002C61EA" w:rsidP="002C61EA">
            <w:pPr>
              <w:jc w:val="right"/>
              <w:rPr>
                <w:rFonts w:ascii="Calibri" w:eastAsia="Times New Roman" w:hAnsi="Calibri" w:cs="Calibri"/>
                <w:sz w:val="20"/>
                <w:szCs w:val="20"/>
              </w:rPr>
            </w:pPr>
            <w:r w:rsidRPr="002C61EA">
              <w:rPr>
                <w:rFonts w:ascii="Calibri" w:eastAsia="Times New Roman" w:hAnsi="Calibri" w:cs="Calibri"/>
                <w:sz w:val="20"/>
                <w:szCs w:val="20"/>
              </w:rPr>
              <w:t>10.39%</w:t>
            </w:r>
          </w:p>
        </w:tc>
        <w:tc>
          <w:tcPr>
            <w:tcW w:w="940" w:type="dxa"/>
            <w:tcBorders>
              <w:top w:val="nil"/>
              <w:left w:val="nil"/>
              <w:bottom w:val="single" w:sz="4" w:space="0" w:color="auto"/>
              <w:right w:val="single" w:sz="4" w:space="0" w:color="auto"/>
            </w:tcBorders>
            <w:shd w:val="clear" w:color="auto" w:fill="auto"/>
            <w:noWrap/>
            <w:vAlign w:val="bottom"/>
            <w:hideMark/>
          </w:tcPr>
          <w:p w14:paraId="74DD93C3" w14:textId="77777777" w:rsidR="002C61EA" w:rsidRPr="002C61EA" w:rsidRDefault="002C61EA" w:rsidP="002C61EA">
            <w:pPr>
              <w:jc w:val="right"/>
              <w:rPr>
                <w:rFonts w:ascii="Calibri" w:eastAsia="Times New Roman" w:hAnsi="Calibri" w:cs="Calibri"/>
                <w:b/>
                <w:bCs/>
                <w:sz w:val="20"/>
                <w:szCs w:val="20"/>
              </w:rPr>
            </w:pPr>
            <w:r w:rsidRPr="002C61EA">
              <w:rPr>
                <w:rFonts w:ascii="Calibri" w:eastAsia="Times New Roman" w:hAnsi="Calibri" w:cs="Calibri"/>
                <w:b/>
                <w:bCs/>
                <w:sz w:val="20"/>
                <w:szCs w:val="20"/>
              </w:rPr>
              <w:t>0.47%</w:t>
            </w:r>
          </w:p>
        </w:tc>
        <w:tc>
          <w:tcPr>
            <w:tcW w:w="2300" w:type="dxa"/>
            <w:tcBorders>
              <w:top w:val="nil"/>
              <w:left w:val="nil"/>
              <w:bottom w:val="single" w:sz="4" w:space="0" w:color="auto"/>
              <w:right w:val="single" w:sz="4" w:space="0" w:color="auto"/>
            </w:tcBorders>
            <w:shd w:val="clear" w:color="auto" w:fill="auto"/>
            <w:noWrap/>
            <w:vAlign w:val="bottom"/>
            <w:hideMark/>
          </w:tcPr>
          <w:p w14:paraId="737A9FE4" w14:textId="77777777" w:rsidR="002C61EA" w:rsidRPr="002C61EA" w:rsidRDefault="002C61EA" w:rsidP="002C61EA">
            <w:pPr>
              <w:rPr>
                <w:rFonts w:ascii="Calibri" w:eastAsia="Times New Roman" w:hAnsi="Calibri" w:cs="Calibri"/>
                <w:sz w:val="20"/>
                <w:szCs w:val="20"/>
              </w:rPr>
            </w:pPr>
            <w:r w:rsidRPr="002C61EA">
              <w:rPr>
                <w:rFonts w:ascii="Calibri" w:eastAsia="Times New Roman" w:hAnsi="Calibri" w:cs="Calibri"/>
                <w:sz w:val="20"/>
                <w:szCs w:val="20"/>
              </w:rPr>
              <w:t xml:space="preserve">Dow Jones US Dividend </w:t>
            </w:r>
          </w:p>
        </w:tc>
        <w:tc>
          <w:tcPr>
            <w:tcW w:w="1140" w:type="dxa"/>
            <w:tcBorders>
              <w:top w:val="nil"/>
              <w:left w:val="nil"/>
              <w:bottom w:val="single" w:sz="4" w:space="0" w:color="auto"/>
              <w:right w:val="single" w:sz="4" w:space="0" w:color="auto"/>
            </w:tcBorders>
            <w:shd w:val="clear" w:color="auto" w:fill="auto"/>
            <w:noWrap/>
            <w:vAlign w:val="bottom"/>
            <w:hideMark/>
          </w:tcPr>
          <w:p w14:paraId="4254D800" w14:textId="77777777" w:rsidR="002C61EA" w:rsidRPr="002C61EA" w:rsidRDefault="002C61EA" w:rsidP="002C61EA">
            <w:pPr>
              <w:jc w:val="right"/>
              <w:rPr>
                <w:rFonts w:ascii="Calibri" w:eastAsia="Times New Roman" w:hAnsi="Calibri" w:cs="Calibri"/>
                <w:b/>
                <w:bCs/>
                <w:sz w:val="20"/>
                <w:szCs w:val="20"/>
              </w:rPr>
            </w:pPr>
            <w:r w:rsidRPr="002C61EA">
              <w:rPr>
                <w:rFonts w:ascii="Calibri" w:eastAsia="Times New Roman" w:hAnsi="Calibri" w:cs="Calibri"/>
                <w:b/>
                <w:bCs/>
                <w:sz w:val="20"/>
                <w:szCs w:val="20"/>
              </w:rPr>
              <w:t>-0.94%</w:t>
            </w:r>
          </w:p>
        </w:tc>
      </w:tr>
      <w:tr w:rsidR="002C61EA" w:rsidRPr="002C61EA" w14:paraId="5772FBD1" w14:textId="77777777" w:rsidTr="006507A9">
        <w:tc>
          <w:tcPr>
            <w:tcW w:w="2640" w:type="dxa"/>
            <w:tcBorders>
              <w:top w:val="nil"/>
              <w:left w:val="single" w:sz="4" w:space="0" w:color="auto"/>
              <w:bottom w:val="single" w:sz="4" w:space="0" w:color="auto"/>
              <w:right w:val="single" w:sz="4" w:space="0" w:color="auto"/>
            </w:tcBorders>
            <w:shd w:val="clear" w:color="auto" w:fill="auto"/>
            <w:noWrap/>
            <w:vAlign w:val="bottom"/>
            <w:hideMark/>
          </w:tcPr>
          <w:p w14:paraId="395C9D2C" w14:textId="77777777" w:rsidR="002C61EA" w:rsidRPr="002C61EA" w:rsidRDefault="002C61EA" w:rsidP="002C61EA">
            <w:pPr>
              <w:rPr>
                <w:rFonts w:ascii="Calibri" w:eastAsia="Times New Roman" w:hAnsi="Calibri" w:cs="Calibri"/>
                <w:sz w:val="20"/>
                <w:szCs w:val="20"/>
              </w:rPr>
            </w:pPr>
            <w:r w:rsidRPr="002C61EA">
              <w:rPr>
                <w:rFonts w:ascii="Calibri" w:eastAsia="Times New Roman" w:hAnsi="Calibri" w:cs="Calibri"/>
                <w:sz w:val="20"/>
                <w:szCs w:val="20"/>
              </w:rPr>
              <w:t>Fixed Income</w:t>
            </w:r>
          </w:p>
        </w:tc>
        <w:tc>
          <w:tcPr>
            <w:tcW w:w="900" w:type="dxa"/>
            <w:tcBorders>
              <w:top w:val="nil"/>
              <w:left w:val="nil"/>
              <w:bottom w:val="single" w:sz="4" w:space="0" w:color="auto"/>
              <w:right w:val="single" w:sz="4" w:space="0" w:color="auto"/>
            </w:tcBorders>
            <w:shd w:val="clear" w:color="auto" w:fill="auto"/>
            <w:noWrap/>
            <w:vAlign w:val="bottom"/>
            <w:hideMark/>
          </w:tcPr>
          <w:p w14:paraId="31067009" w14:textId="7FD37986" w:rsidR="002C61EA" w:rsidRPr="002C61EA" w:rsidRDefault="002C61EA" w:rsidP="002C61EA">
            <w:pPr>
              <w:jc w:val="right"/>
              <w:rPr>
                <w:rFonts w:ascii="Calibri" w:eastAsia="Times New Roman" w:hAnsi="Calibri" w:cs="Calibri"/>
                <w:sz w:val="20"/>
                <w:szCs w:val="20"/>
              </w:rPr>
            </w:pPr>
            <w:r w:rsidRPr="002C61EA">
              <w:rPr>
                <w:rFonts w:ascii="Calibri" w:eastAsia="Times New Roman" w:hAnsi="Calibri" w:cs="Calibri"/>
                <w:sz w:val="20"/>
                <w:szCs w:val="20"/>
              </w:rPr>
              <w:t xml:space="preserve">1,035.7 </w:t>
            </w:r>
          </w:p>
        </w:tc>
        <w:tc>
          <w:tcPr>
            <w:tcW w:w="1140" w:type="dxa"/>
            <w:tcBorders>
              <w:top w:val="nil"/>
              <w:left w:val="nil"/>
              <w:bottom w:val="single" w:sz="4" w:space="0" w:color="auto"/>
              <w:right w:val="single" w:sz="4" w:space="0" w:color="auto"/>
            </w:tcBorders>
            <w:shd w:val="clear" w:color="auto" w:fill="auto"/>
            <w:noWrap/>
            <w:vAlign w:val="bottom"/>
            <w:hideMark/>
          </w:tcPr>
          <w:p w14:paraId="5F04D4F2" w14:textId="77777777" w:rsidR="002C61EA" w:rsidRPr="002C61EA" w:rsidRDefault="002C61EA" w:rsidP="002C61EA">
            <w:pPr>
              <w:jc w:val="right"/>
              <w:rPr>
                <w:rFonts w:ascii="Calibri" w:eastAsia="Times New Roman" w:hAnsi="Calibri" w:cs="Calibri"/>
                <w:sz w:val="20"/>
                <w:szCs w:val="20"/>
              </w:rPr>
            </w:pPr>
            <w:r w:rsidRPr="002C61EA">
              <w:rPr>
                <w:rFonts w:ascii="Calibri" w:eastAsia="Times New Roman" w:hAnsi="Calibri" w:cs="Calibri"/>
                <w:sz w:val="20"/>
                <w:szCs w:val="20"/>
              </w:rPr>
              <w:t>69.23%</w:t>
            </w:r>
          </w:p>
        </w:tc>
        <w:tc>
          <w:tcPr>
            <w:tcW w:w="940" w:type="dxa"/>
            <w:tcBorders>
              <w:top w:val="nil"/>
              <w:left w:val="nil"/>
              <w:bottom w:val="single" w:sz="4" w:space="0" w:color="auto"/>
              <w:right w:val="single" w:sz="4" w:space="0" w:color="auto"/>
            </w:tcBorders>
            <w:shd w:val="clear" w:color="auto" w:fill="auto"/>
            <w:noWrap/>
            <w:vAlign w:val="bottom"/>
            <w:hideMark/>
          </w:tcPr>
          <w:p w14:paraId="576A3349" w14:textId="77777777" w:rsidR="002C61EA" w:rsidRPr="002C61EA" w:rsidRDefault="002C61EA" w:rsidP="002C61EA">
            <w:pPr>
              <w:jc w:val="right"/>
              <w:rPr>
                <w:rFonts w:ascii="Calibri" w:eastAsia="Times New Roman" w:hAnsi="Calibri" w:cs="Calibri"/>
                <w:b/>
                <w:bCs/>
                <w:sz w:val="20"/>
                <w:szCs w:val="20"/>
              </w:rPr>
            </w:pPr>
            <w:r w:rsidRPr="002C61EA">
              <w:rPr>
                <w:rFonts w:ascii="Calibri" w:eastAsia="Times New Roman" w:hAnsi="Calibri" w:cs="Calibri"/>
                <w:b/>
                <w:bCs/>
                <w:sz w:val="20"/>
                <w:szCs w:val="20"/>
              </w:rPr>
              <w:t>0.53%</w:t>
            </w:r>
          </w:p>
        </w:tc>
        <w:tc>
          <w:tcPr>
            <w:tcW w:w="2300" w:type="dxa"/>
            <w:tcBorders>
              <w:top w:val="nil"/>
              <w:left w:val="nil"/>
              <w:bottom w:val="single" w:sz="4" w:space="0" w:color="auto"/>
              <w:right w:val="single" w:sz="4" w:space="0" w:color="auto"/>
            </w:tcBorders>
            <w:shd w:val="clear" w:color="auto" w:fill="auto"/>
            <w:noWrap/>
            <w:vAlign w:val="bottom"/>
            <w:hideMark/>
          </w:tcPr>
          <w:p w14:paraId="203E5C86" w14:textId="77777777" w:rsidR="002C61EA" w:rsidRPr="002C61EA" w:rsidRDefault="002C61EA" w:rsidP="002C61EA">
            <w:pPr>
              <w:rPr>
                <w:rFonts w:ascii="Calibri" w:eastAsia="Times New Roman" w:hAnsi="Calibri" w:cs="Calibri"/>
                <w:sz w:val="20"/>
                <w:szCs w:val="20"/>
              </w:rPr>
            </w:pPr>
            <w:r w:rsidRPr="002C61EA">
              <w:rPr>
                <w:rFonts w:ascii="Calibri" w:eastAsia="Times New Roman" w:hAnsi="Calibri" w:cs="Calibri"/>
                <w:sz w:val="20"/>
                <w:szCs w:val="20"/>
              </w:rPr>
              <w:t xml:space="preserve">Barclays Gov't/Credit </w:t>
            </w:r>
          </w:p>
        </w:tc>
        <w:tc>
          <w:tcPr>
            <w:tcW w:w="1140" w:type="dxa"/>
            <w:tcBorders>
              <w:top w:val="nil"/>
              <w:left w:val="nil"/>
              <w:bottom w:val="single" w:sz="4" w:space="0" w:color="auto"/>
              <w:right w:val="single" w:sz="4" w:space="0" w:color="auto"/>
            </w:tcBorders>
            <w:shd w:val="clear" w:color="auto" w:fill="auto"/>
            <w:noWrap/>
            <w:vAlign w:val="bottom"/>
            <w:hideMark/>
          </w:tcPr>
          <w:p w14:paraId="137054D4" w14:textId="77777777" w:rsidR="002C61EA" w:rsidRPr="002C61EA" w:rsidRDefault="002C61EA" w:rsidP="002C61EA">
            <w:pPr>
              <w:jc w:val="right"/>
              <w:rPr>
                <w:rFonts w:ascii="Calibri" w:eastAsia="Times New Roman" w:hAnsi="Calibri" w:cs="Calibri"/>
                <w:b/>
                <w:bCs/>
                <w:sz w:val="20"/>
                <w:szCs w:val="20"/>
              </w:rPr>
            </w:pPr>
            <w:r w:rsidRPr="002C61EA">
              <w:rPr>
                <w:rFonts w:ascii="Calibri" w:eastAsia="Times New Roman" w:hAnsi="Calibri" w:cs="Calibri"/>
                <w:b/>
                <w:bCs/>
                <w:sz w:val="20"/>
                <w:szCs w:val="20"/>
              </w:rPr>
              <w:t>-0.60%</w:t>
            </w:r>
          </w:p>
        </w:tc>
      </w:tr>
      <w:tr w:rsidR="002C61EA" w:rsidRPr="002C61EA" w14:paraId="4BBCB16F" w14:textId="77777777" w:rsidTr="006507A9">
        <w:tc>
          <w:tcPr>
            <w:tcW w:w="2640" w:type="dxa"/>
            <w:tcBorders>
              <w:top w:val="nil"/>
              <w:left w:val="single" w:sz="4" w:space="0" w:color="auto"/>
              <w:bottom w:val="single" w:sz="4" w:space="0" w:color="auto"/>
              <w:right w:val="single" w:sz="4" w:space="0" w:color="auto"/>
            </w:tcBorders>
            <w:shd w:val="clear" w:color="auto" w:fill="auto"/>
            <w:noWrap/>
            <w:vAlign w:val="bottom"/>
            <w:hideMark/>
          </w:tcPr>
          <w:p w14:paraId="7133609B" w14:textId="77777777" w:rsidR="002C61EA" w:rsidRPr="002C61EA" w:rsidRDefault="002C61EA" w:rsidP="002C61EA">
            <w:pPr>
              <w:rPr>
                <w:rFonts w:ascii="Calibri" w:eastAsia="Times New Roman" w:hAnsi="Calibri" w:cs="Calibri"/>
                <w:b/>
                <w:bCs/>
                <w:sz w:val="20"/>
                <w:szCs w:val="20"/>
              </w:rPr>
            </w:pPr>
            <w:r w:rsidRPr="002C61EA">
              <w:rPr>
                <w:rFonts w:ascii="Calibri" w:eastAsia="Times New Roman" w:hAnsi="Calibri" w:cs="Calibri"/>
                <w:b/>
                <w:bCs/>
                <w:sz w:val="20"/>
                <w:szCs w:val="20"/>
              </w:rPr>
              <w:t xml:space="preserve">    Total Portfolio</w:t>
            </w:r>
          </w:p>
        </w:tc>
        <w:tc>
          <w:tcPr>
            <w:tcW w:w="900" w:type="dxa"/>
            <w:tcBorders>
              <w:top w:val="nil"/>
              <w:left w:val="nil"/>
              <w:bottom w:val="single" w:sz="4" w:space="0" w:color="auto"/>
              <w:right w:val="single" w:sz="4" w:space="0" w:color="auto"/>
            </w:tcBorders>
            <w:shd w:val="clear" w:color="auto" w:fill="auto"/>
            <w:noWrap/>
            <w:vAlign w:val="bottom"/>
            <w:hideMark/>
          </w:tcPr>
          <w:p w14:paraId="5B0E18C9" w14:textId="31EC5894" w:rsidR="002C61EA" w:rsidRPr="002C61EA" w:rsidRDefault="002C61EA" w:rsidP="002C61EA">
            <w:pPr>
              <w:jc w:val="right"/>
              <w:rPr>
                <w:rFonts w:ascii="Calibri" w:eastAsia="Times New Roman" w:hAnsi="Calibri" w:cs="Calibri"/>
                <w:b/>
                <w:bCs/>
                <w:sz w:val="20"/>
                <w:szCs w:val="20"/>
              </w:rPr>
            </w:pPr>
            <w:r w:rsidRPr="002C61EA">
              <w:rPr>
                <w:rFonts w:ascii="Calibri" w:eastAsia="Times New Roman" w:hAnsi="Calibri" w:cs="Calibri"/>
                <w:b/>
                <w:bCs/>
                <w:sz w:val="20"/>
                <w:szCs w:val="20"/>
              </w:rPr>
              <w:t xml:space="preserve">1,569.4 </w:t>
            </w:r>
          </w:p>
        </w:tc>
        <w:tc>
          <w:tcPr>
            <w:tcW w:w="1140" w:type="dxa"/>
            <w:tcBorders>
              <w:top w:val="nil"/>
              <w:left w:val="nil"/>
              <w:bottom w:val="single" w:sz="4" w:space="0" w:color="auto"/>
              <w:right w:val="single" w:sz="4" w:space="0" w:color="auto"/>
            </w:tcBorders>
            <w:shd w:val="clear" w:color="auto" w:fill="auto"/>
            <w:noWrap/>
            <w:vAlign w:val="bottom"/>
            <w:hideMark/>
          </w:tcPr>
          <w:p w14:paraId="46D9C83C" w14:textId="77777777" w:rsidR="002C61EA" w:rsidRPr="002C61EA" w:rsidRDefault="002C61EA" w:rsidP="002C61EA">
            <w:pPr>
              <w:jc w:val="right"/>
              <w:rPr>
                <w:rFonts w:ascii="Calibri" w:eastAsia="Times New Roman" w:hAnsi="Calibri" w:cs="Calibri"/>
                <w:b/>
                <w:bCs/>
                <w:sz w:val="20"/>
                <w:szCs w:val="20"/>
              </w:rPr>
            </w:pPr>
            <w:r w:rsidRPr="002C61EA">
              <w:rPr>
                <w:rFonts w:ascii="Calibri" w:eastAsia="Times New Roman" w:hAnsi="Calibri" w:cs="Calibri"/>
                <w:b/>
                <w:bCs/>
                <w:sz w:val="20"/>
                <w:szCs w:val="20"/>
              </w:rPr>
              <w:t>100.00%</w:t>
            </w:r>
          </w:p>
        </w:tc>
        <w:tc>
          <w:tcPr>
            <w:tcW w:w="940" w:type="dxa"/>
            <w:tcBorders>
              <w:top w:val="nil"/>
              <w:left w:val="nil"/>
              <w:bottom w:val="single" w:sz="4" w:space="0" w:color="auto"/>
              <w:right w:val="single" w:sz="4" w:space="0" w:color="auto"/>
            </w:tcBorders>
            <w:shd w:val="clear" w:color="auto" w:fill="auto"/>
            <w:noWrap/>
            <w:vAlign w:val="bottom"/>
            <w:hideMark/>
          </w:tcPr>
          <w:p w14:paraId="2BE3913F" w14:textId="77777777" w:rsidR="002C61EA" w:rsidRPr="002C61EA" w:rsidRDefault="002C61EA" w:rsidP="002C61EA">
            <w:pPr>
              <w:jc w:val="right"/>
              <w:rPr>
                <w:rFonts w:ascii="Calibri" w:eastAsia="Times New Roman" w:hAnsi="Calibri" w:cs="Calibri"/>
                <w:b/>
                <w:bCs/>
                <w:sz w:val="20"/>
                <w:szCs w:val="20"/>
              </w:rPr>
            </w:pPr>
            <w:r w:rsidRPr="002C61EA">
              <w:rPr>
                <w:rFonts w:ascii="Calibri" w:eastAsia="Times New Roman" w:hAnsi="Calibri" w:cs="Calibri"/>
                <w:b/>
                <w:bCs/>
                <w:sz w:val="20"/>
                <w:szCs w:val="20"/>
              </w:rPr>
              <w:t>4.86%</w:t>
            </w:r>
          </w:p>
        </w:tc>
        <w:tc>
          <w:tcPr>
            <w:tcW w:w="2300" w:type="dxa"/>
            <w:tcBorders>
              <w:top w:val="nil"/>
              <w:left w:val="nil"/>
              <w:bottom w:val="single" w:sz="4" w:space="0" w:color="auto"/>
              <w:right w:val="single" w:sz="4" w:space="0" w:color="auto"/>
            </w:tcBorders>
            <w:shd w:val="clear" w:color="auto" w:fill="auto"/>
            <w:noWrap/>
            <w:vAlign w:val="bottom"/>
            <w:hideMark/>
          </w:tcPr>
          <w:p w14:paraId="5447E37F" w14:textId="77777777" w:rsidR="002C61EA" w:rsidRPr="002C61EA" w:rsidRDefault="002C61EA" w:rsidP="002C61EA">
            <w:pPr>
              <w:rPr>
                <w:rFonts w:ascii="Calibri" w:eastAsia="Times New Roman" w:hAnsi="Calibri" w:cs="Calibri"/>
                <w:b/>
                <w:bCs/>
                <w:sz w:val="20"/>
                <w:szCs w:val="20"/>
              </w:rPr>
            </w:pPr>
            <w:r w:rsidRPr="002C61EA">
              <w:rPr>
                <w:rFonts w:ascii="Calibri" w:eastAsia="Times New Roman" w:hAnsi="Calibri" w:cs="Calibri"/>
                <w:b/>
                <w:bCs/>
                <w:sz w:val="20"/>
                <w:szCs w:val="20"/>
              </w:rPr>
              <w:t>Blended Benchmark</w:t>
            </w:r>
          </w:p>
        </w:tc>
        <w:tc>
          <w:tcPr>
            <w:tcW w:w="1140" w:type="dxa"/>
            <w:tcBorders>
              <w:top w:val="nil"/>
              <w:left w:val="nil"/>
              <w:bottom w:val="single" w:sz="4" w:space="0" w:color="auto"/>
              <w:right w:val="single" w:sz="4" w:space="0" w:color="auto"/>
            </w:tcBorders>
            <w:shd w:val="clear" w:color="auto" w:fill="auto"/>
            <w:noWrap/>
            <w:vAlign w:val="bottom"/>
            <w:hideMark/>
          </w:tcPr>
          <w:p w14:paraId="64EF4F29" w14:textId="77777777" w:rsidR="002C61EA" w:rsidRPr="002C61EA" w:rsidRDefault="002C61EA" w:rsidP="002C61EA">
            <w:pPr>
              <w:jc w:val="right"/>
              <w:rPr>
                <w:rFonts w:ascii="Calibri" w:eastAsia="Times New Roman" w:hAnsi="Calibri" w:cs="Calibri"/>
                <w:b/>
                <w:bCs/>
                <w:sz w:val="20"/>
                <w:szCs w:val="20"/>
              </w:rPr>
            </w:pPr>
            <w:r w:rsidRPr="002C61EA">
              <w:rPr>
                <w:rFonts w:ascii="Calibri" w:eastAsia="Times New Roman" w:hAnsi="Calibri" w:cs="Calibri"/>
                <w:b/>
                <w:bCs/>
                <w:sz w:val="20"/>
                <w:szCs w:val="20"/>
              </w:rPr>
              <w:t>2.05%</w:t>
            </w:r>
          </w:p>
        </w:tc>
      </w:tr>
    </w:tbl>
    <w:p w14:paraId="4FF11579" w14:textId="77777777" w:rsidR="006E0B89" w:rsidRDefault="006E0B89" w:rsidP="00D67EEB">
      <w:pPr>
        <w:rPr>
          <w:b/>
          <w:sz w:val="24"/>
          <w:szCs w:val="24"/>
        </w:rPr>
      </w:pPr>
    </w:p>
    <w:p w14:paraId="5E3E8E9A" w14:textId="77777777" w:rsidR="006739E3" w:rsidRDefault="006739E3" w:rsidP="00D67EEB">
      <w:pPr>
        <w:rPr>
          <w:b/>
          <w:sz w:val="24"/>
          <w:szCs w:val="24"/>
        </w:rPr>
      </w:pPr>
    </w:p>
    <w:p w14:paraId="0B943D37" w14:textId="77777777" w:rsidR="006739E3" w:rsidRDefault="006739E3" w:rsidP="00D67EEB">
      <w:pPr>
        <w:rPr>
          <w:b/>
          <w:sz w:val="24"/>
          <w:szCs w:val="24"/>
        </w:rPr>
      </w:pPr>
    </w:p>
    <w:p w14:paraId="0B8D3B07" w14:textId="77777777" w:rsidR="006739E3" w:rsidRDefault="006739E3" w:rsidP="00D67EEB">
      <w:pPr>
        <w:rPr>
          <w:b/>
          <w:sz w:val="24"/>
          <w:szCs w:val="24"/>
        </w:rPr>
      </w:pPr>
    </w:p>
    <w:p w14:paraId="6016158A" w14:textId="77777777" w:rsidR="006739E3" w:rsidRDefault="006739E3" w:rsidP="00D67EEB">
      <w:pPr>
        <w:rPr>
          <w:b/>
          <w:sz w:val="24"/>
          <w:szCs w:val="24"/>
        </w:rPr>
      </w:pPr>
    </w:p>
    <w:p w14:paraId="1A9C1A53" w14:textId="77777777" w:rsidR="006739E3" w:rsidRDefault="006739E3" w:rsidP="00D67EEB">
      <w:pPr>
        <w:rPr>
          <w:b/>
          <w:sz w:val="24"/>
          <w:szCs w:val="24"/>
        </w:rPr>
      </w:pPr>
    </w:p>
    <w:p w14:paraId="61282B6E" w14:textId="77777777" w:rsidR="006739E3" w:rsidRDefault="006739E3" w:rsidP="00D67EEB">
      <w:pPr>
        <w:rPr>
          <w:b/>
          <w:sz w:val="24"/>
          <w:szCs w:val="24"/>
        </w:rPr>
      </w:pPr>
    </w:p>
    <w:p w14:paraId="6ED19959" w14:textId="77777777" w:rsidR="006529F4" w:rsidRDefault="006529F4" w:rsidP="00D67EEB">
      <w:pPr>
        <w:rPr>
          <w:b/>
          <w:sz w:val="32"/>
          <w:szCs w:val="32"/>
        </w:rPr>
      </w:pPr>
      <w:r w:rsidRPr="00D24C2E">
        <w:rPr>
          <w:b/>
          <w:sz w:val="32"/>
          <w:szCs w:val="32"/>
        </w:rPr>
        <w:lastRenderedPageBreak/>
        <w:t>Growth of Market Value</w:t>
      </w:r>
      <w:r>
        <w:rPr>
          <w:b/>
          <w:sz w:val="32"/>
          <w:szCs w:val="32"/>
        </w:rPr>
        <w:t xml:space="preserve"> &amp; Investment Income</w:t>
      </w:r>
    </w:p>
    <w:tbl>
      <w:tblPr>
        <w:tblW w:w="6658" w:type="dxa"/>
        <w:tblLook w:val="04A0" w:firstRow="1" w:lastRow="0" w:firstColumn="1" w:lastColumn="0" w:noHBand="0" w:noVBand="1"/>
      </w:tblPr>
      <w:tblGrid>
        <w:gridCol w:w="1885"/>
        <w:gridCol w:w="999"/>
        <w:gridCol w:w="1000"/>
        <w:gridCol w:w="999"/>
        <w:gridCol w:w="960"/>
        <w:gridCol w:w="960"/>
      </w:tblGrid>
      <w:tr w:rsidR="002C61EA" w:rsidRPr="002C61EA" w14:paraId="5462D7E1" w14:textId="77777777" w:rsidTr="006507A9">
        <w:trPr>
          <w:trHeight w:val="675"/>
        </w:trPr>
        <w:tc>
          <w:tcPr>
            <w:tcW w:w="1885" w:type="dxa"/>
            <w:tcBorders>
              <w:top w:val="single" w:sz="4" w:space="0" w:color="auto"/>
              <w:left w:val="single" w:sz="4" w:space="0" w:color="auto"/>
              <w:bottom w:val="nil"/>
              <w:right w:val="single" w:sz="4" w:space="0" w:color="auto"/>
            </w:tcBorders>
            <w:shd w:val="clear" w:color="auto" w:fill="auto"/>
            <w:noWrap/>
            <w:vAlign w:val="bottom"/>
            <w:hideMark/>
          </w:tcPr>
          <w:p w14:paraId="57574A61" w14:textId="77777777" w:rsidR="002C61EA" w:rsidRPr="002C61EA" w:rsidRDefault="002C61EA" w:rsidP="002C61EA">
            <w:pPr>
              <w:rPr>
                <w:rFonts w:ascii="Arial" w:eastAsia="Times New Roman" w:hAnsi="Arial" w:cs="Arial"/>
                <w:sz w:val="16"/>
                <w:szCs w:val="16"/>
              </w:rPr>
            </w:pPr>
            <w:r w:rsidRPr="002C61EA">
              <w:rPr>
                <w:rFonts w:ascii="Arial" w:eastAsia="Times New Roman" w:hAnsi="Arial" w:cs="Arial"/>
                <w:sz w:val="16"/>
                <w:szCs w:val="16"/>
              </w:rPr>
              <w:t> </w:t>
            </w:r>
          </w:p>
        </w:tc>
        <w:tc>
          <w:tcPr>
            <w:tcW w:w="854" w:type="dxa"/>
            <w:tcBorders>
              <w:top w:val="single" w:sz="4" w:space="0" w:color="auto"/>
              <w:left w:val="nil"/>
              <w:bottom w:val="single" w:sz="4" w:space="0" w:color="auto"/>
              <w:right w:val="single" w:sz="4" w:space="0" w:color="auto"/>
            </w:tcBorders>
            <w:shd w:val="clear" w:color="auto" w:fill="auto"/>
            <w:vAlign w:val="bottom"/>
            <w:hideMark/>
          </w:tcPr>
          <w:p w14:paraId="4ACD5736" w14:textId="77777777" w:rsidR="002C61EA" w:rsidRPr="002C61EA" w:rsidRDefault="002C61EA" w:rsidP="002C61EA">
            <w:pPr>
              <w:jc w:val="center"/>
              <w:rPr>
                <w:rFonts w:ascii="Arial" w:eastAsia="Times New Roman" w:hAnsi="Arial" w:cs="Arial"/>
                <w:sz w:val="16"/>
                <w:szCs w:val="16"/>
              </w:rPr>
            </w:pPr>
            <w:r w:rsidRPr="002C61EA">
              <w:rPr>
                <w:rFonts w:ascii="Arial" w:eastAsia="Times New Roman" w:hAnsi="Arial" w:cs="Arial"/>
                <w:sz w:val="16"/>
                <w:szCs w:val="16"/>
              </w:rPr>
              <w:t>Total Investment Income*</w:t>
            </w:r>
          </w:p>
        </w:tc>
        <w:tc>
          <w:tcPr>
            <w:tcW w:w="1000" w:type="dxa"/>
            <w:tcBorders>
              <w:top w:val="single" w:sz="4" w:space="0" w:color="auto"/>
              <w:left w:val="nil"/>
              <w:bottom w:val="nil"/>
              <w:right w:val="single" w:sz="4" w:space="0" w:color="auto"/>
            </w:tcBorders>
            <w:shd w:val="clear" w:color="auto" w:fill="auto"/>
            <w:vAlign w:val="bottom"/>
            <w:hideMark/>
          </w:tcPr>
          <w:p w14:paraId="429782A4" w14:textId="77777777" w:rsidR="002C61EA" w:rsidRPr="002C61EA" w:rsidRDefault="002C61EA" w:rsidP="002C61EA">
            <w:pPr>
              <w:jc w:val="center"/>
              <w:rPr>
                <w:rFonts w:ascii="Arial" w:eastAsia="Times New Roman" w:hAnsi="Arial" w:cs="Arial"/>
                <w:sz w:val="16"/>
                <w:szCs w:val="16"/>
              </w:rPr>
            </w:pPr>
            <w:r w:rsidRPr="002C61EA">
              <w:rPr>
                <w:rFonts w:ascii="Arial" w:eastAsia="Times New Roman" w:hAnsi="Arial" w:cs="Arial"/>
                <w:sz w:val="16"/>
                <w:szCs w:val="16"/>
              </w:rPr>
              <w:t>Market Value*</w:t>
            </w:r>
          </w:p>
        </w:tc>
        <w:tc>
          <w:tcPr>
            <w:tcW w:w="999" w:type="dxa"/>
            <w:tcBorders>
              <w:top w:val="single" w:sz="4" w:space="0" w:color="auto"/>
              <w:left w:val="nil"/>
              <w:bottom w:val="nil"/>
              <w:right w:val="single" w:sz="4" w:space="0" w:color="auto"/>
            </w:tcBorders>
            <w:shd w:val="clear" w:color="auto" w:fill="auto"/>
            <w:vAlign w:val="bottom"/>
            <w:hideMark/>
          </w:tcPr>
          <w:p w14:paraId="497BA71E" w14:textId="77777777" w:rsidR="002C61EA" w:rsidRPr="002C61EA" w:rsidRDefault="002C61EA" w:rsidP="002C61EA">
            <w:pPr>
              <w:jc w:val="center"/>
              <w:rPr>
                <w:rFonts w:ascii="Arial" w:eastAsia="Times New Roman" w:hAnsi="Arial" w:cs="Arial"/>
                <w:sz w:val="16"/>
                <w:szCs w:val="16"/>
              </w:rPr>
            </w:pPr>
            <w:r w:rsidRPr="002C61EA">
              <w:rPr>
                <w:rFonts w:ascii="Arial" w:eastAsia="Times New Roman" w:hAnsi="Arial" w:cs="Arial"/>
                <w:sz w:val="16"/>
                <w:szCs w:val="16"/>
              </w:rPr>
              <w:t>Investment Yield</w:t>
            </w:r>
          </w:p>
        </w:tc>
        <w:tc>
          <w:tcPr>
            <w:tcW w:w="960" w:type="dxa"/>
            <w:tcBorders>
              <w:top w:val="single" w:sz="4" w:space="0" w:color="auto"/>
              <w:left w:val="nil"/>
              <w:bottom w:val="nil"/>
              <w:right w:val="single" w:sz="4" w:space="0" w:color="auto"/>
            </w:tcBorders>
            <w:shd w:val="clear" w:color="auto" w:fill="auto"/>
            <w:vAlign w:val="bottom"/>
            <w:hideMark/>
          </w:tcPr>
          <w:p w14:paraId="27C70610" w14:textId="77777777" w:rsidR="002C61EA" w:rsidRPr="002C61EA" w:rsidRDefault="002C61EA" w:rsidP="002C61EA">
            <w:pPr>
              <w:jc w:val="center"/>
              <w:rPr>
                <w:rFonts w:ascii="Arial" w:eastAsia="Times New Roman" w:hAnsi="Arial" w:cs="Arial"/>
                <w:sz w:val="16"/>
                <w:szCs w:val="16"/>
              </w:rPr>
            </w:pPr>
            <w:r w:rsidRPr="002C61EA">
              <w:rPr>
                <w:rFonts w:ascii="Arial" w:eastAsia="Times New Roman" w:hAnsi="Arial" w:cs="Arial"/>
                <w:sz w:val="16"/>
                <w:szCs w:val="16"/>
              </w:rPr>
              <w:t>5 Year Treasury Note</w:t>
            </w:r>
          </w:p>
        </w:tc>
        <w:tc>
          <w:tcPr>
            <w:tcW w:w="960" w:type="dxa"/>
            <w:tcBorders>
              <w:top w:val="single" w:sz="4" w:space="0" w:color="auto"/>
              <w:left w:val="nil"/>
              <w:bottom w:val="nil"/>
              <w:right w:val="single" w:sz="4" w:space="0" w:color="auto"/>
            </w:tcBorders>
            <w:shd w:val="clear" w:color="auto" w:fill="auto"/>
            <w:vAlign w:val="bottom"/>
            <w:hideMark/>
          </w:tcPr>
          <w:p w14:paraId="19405753" w14:textId="77777777" w:rsidR="002C61EA" w:rsidRPr="002C61EA" w:rsidRDefault="002C61EA" w:rsidP="002C61EA">
            <w:pPr>
              <w:jc w:val="center"/>
              <w:rPr>
                <w:rFonts w:ascii="Arial" w:eastAsia="Times New Roman" w:hAnsi="Arial" w:cs="Arial"/>
                <w:sz w:val="16"/>
                <w:szCs w:val="16"/>
              </w:rPr>
            </w:pPr>
            <w:r w:rsidRPr="002C61EA">
              <w:rPr>
                <w:rFonts w:ascii="Arial" w:eastAsia="Times New Roman" w:hAnsi="Arial" w:cs="Arial"/>
                <w:sz w:val="16"/>
                <w:szCs w:val="16"/>
              </w:rPr>
              <w:t>10 Year Treasury Note</w:t>
            </w:r>
          </w:p>
        </w:tc>
      </w:tr>
      <w:tr w:rsidR="002C61EA" w:rsidRPr="002C61EA" w14:paraId="3541D170" w14:textId="77777777" w:rsidTr="006507A9">
        <w:trPr>
          <w:trHeight w:val="255"/>
        </w:trPr>
        <w:tc>
          <w:tcPr>
            <w:tcW w:w="1885" w:type="dxa"/>
            <w:tcBorders>
              <w:top w:val="single" w:sz="4" w:space="0" w:color="auto"/>
              <w:left w:val="single" w:sz="4" w:space="0" w:color="auto"/>
              <w:bottom w:val="single" w:sz="4" w:space="0" w:color="auto"/>
              <w:right w:val="nil"/>
            </w:tcBorders>
            <w:shd w:val="clear" w:color="auto" w:fill="auto"/>
            <w:noWrap/>
            <w:vAlign w:val="bottom"/>
            <w:hideMark/>
          </w:tcPr>
          <w:p w14:paraId="6F00AC93" w14:textId="77777777" w:rsidR="002C61EA" w:rsidRPr="002C61EA" w:rsidRDefault="002C61EA" w:rsidP="002C61EA">
            <w:pPr>
              <w:rPr>
                <w:rFonts w:ascii="Calibri" w:eastAsia="Times New Roman" w:hAnsi="Calibri" w:cs="Calibri"/>
                <w:b/>
                <w:bCs/>
                <w:sz w:val="20"/>
                <w:szCs w:val="20"/>
              </w:rPr>
            </w:pPr>
            <w:r w:rsidRPr="002C61EA">
              <w:rPr>
                <w:rFonts w:ascii="Calibri" w:eastAsia="Times New Roman" w:hAnsi="Calibri" w:cs="Calibri"/>
                <w:b/>
                <w:bCs/>
                <w:sz w:val="20"/>
                <w:szCs w:val="20"/>
              </w:rPr>
              <w:t>Fiscal Year 22-23</w:t>
            </w:r>
          </w:p>
        </w:tc>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07E97B71" w14:textId="77777777" w:rsidR="002C61EA" w:rsidRPr="002C61EA" w:rsidRDefault="002C61EA" w:rsidP="002C61EA">
            <w:pPr>
              <w:ind w:firstLineChars="100" w:firstLine="201"/>
              <w:jc w:val="right"/>
              <w:rPr>
                <w:rFonts w:ascii="Calibri" w:eastAsia="Times New Roman" w:hAnsi="Calibri" w:cs="Calibri"/>
                <w:b/>
                <w:bCs/>
                <w:sz w:val="20"/>
                <w:szCs w:val="20"/>
              </w:rPr>
            </w:pPr>
            <w:r w:rsidRPr="002C61EA">
              <w:rPr>
                <w:rFonts w:ascii="Calibri" w:eastAsia="Times New Roman" w:hAnsi="Calibri" w:cs="Calibri"/>
                <w:b/>
                <w:bCs/>
                <w:sz w:val="20"/>
                <w:szCs w:val="20"/>
              </w:rPr>
              <w:t>$36.02</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2331513B" w14:textId="77777777" w:rsidR="002C61EA" w:rsidRPr="002C61EA" w:rsidRDefault="002C61EA" w:rsidP="002C61EA">
            <w:pPr>
              <w:ind w:firstLineChars="100" w:firstLine="161"/>
              <w:jc w:val="right"/>
              <w:rPr>
                <w:rFonts w:ascii="Arial" w:eastAsia="Times New Roman" w:hAnsi="Arial" w:cs="Arial"/>
                <w:b/>
                <w:bCs/>
                <w:sz w:val="16"/>
                <w:szCs w:val="16"/>
              </w:rPr>
            </w:pPr>
            <w:r w:rsidRPr="002C61EA">
              <w:rPr>
                <w:rFonts w:ascii="Arial" w:eastAsia="Times New Roman" w:hAnsi="Arial" w:cs="Arial"/>
                <w:b/>
                <w:bCs/>
                <w:sz w:val="16"/>
                <w:szCs w:val="16"/>
              </w:rPr>
              <w:t>$1,559</w:t>
            </w:r>
          </w:p>
        </w:tc>
        <w:tc>
          <w:tcPr>
            <w:tcW w:w="999" w:type="dxa"/>
            <w:tcBorders>
              <w:top w:val="single" w:sz="4" w:space="0" w:color="auto"/>
              <w:left w:val="nil"/>
              <w:bottom w:val="single" w:sz="4" w:space="0" w:color="auto"/>
              <w:right w:val="single" w:sz="4" w:space="0" w:color="auto"/>
            </w:tcBorders>
            <w:shd w:val="clear" w:color="auto" w:fill="auto"/>
            <w:noWrap/>
            <w:vAlign w:val="bottom"/>
            <w:hideMark/>
          </w:tcPr>
          <w:p w14:paraId="3605FA3C" w14:textId="77777777" w:rsidR="002C61EA" w:rsidRPr="002C61EA" w:rsidRDefault="002C61EA" w:rsidP="002C61EA">
            <w:pPr>
              <w:ind w:firstLineChars="100" w:firstLine="161"/>
              <w:jc w:val="right"/>
              <w:rPr>
                <w:rFonts w:ascii="Arial" w:eastAsia="Times New Roman" w:hAnsi="Arial" w:cs="Arial"/>
                <w:b/>
                <w:bCs/>
                <w:sz w:val="16"/>
                <w:szCs w:val="16"/>
              </w:rPr>
            </w:pPr>
            <w:r w:rsidRPr="002C61EA">
              <w:rPr>
                <w:rFonts w:ascii="Arial" w:eastAsia="Times New Roman" w:hAnsi="Arial" w:cs="Arial"/>
                <w:b/>
                <w:bCs/>
                <w:sz w:val="16"/>
                <w:szCs w:val="16"/>
              </w:rPr>
              <w:t>2.31%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E5D934F" w14:textId="77777777" w:rsidR="002C61EA" w:rsidRPr="002C61EA" w:rsidRDefault="002C61EA" w:rsidP="002C61EA">
            <w:pPr>
              <w:ind w:firstLineChars="100" w:firstLine="161"/>
              <w:jc w:val="right"/>
              <w:rPr>
                <w:rFonts w:ascii="Arial" w:eastAsia="Times New Roman" w:hAnsi="Arial" w:cs="Arial"/>
                <w:b/>
                <w:bCs/>
                <w:sz w:val="16"/>
                <w:szCs w:val="16"/>
              </w:rPr>
            </w:pPr>
            <w:r w:rsidRPr="002C61EA">
              <w:rPr>
                <w:rFonts w:ascii="Arial" w:eastAsia="Times New Roman" w:hAnsi="Arial" w:cs="Arial"/>
                <w:b/>
                <w:bCs/>
                <w:sz w:val="16"/>
                <w:szCs w:val="16"/>
              </w:rPr>
              <w:t>3.66%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6E90A6E" w14:textId="77777777" w:rsidR="002C61EA" w:rsidRPr="002C61EA" w:rsidRDefault="002C61EA" w:rsidP="002C61EA">
            <w:pPr>
              <w:ind w:firstLineChars="100" w:firstLine="161"/>
              <w:jc w:val="right"/>
              <w:rPr>
                <w:rFonts w:ascii="Arial" w:eastAsia="Times New Roman" w:hAnsi="Arial" w:cs="Arial"/>
                <w:b/>
                <w:bCs/>
                <w:sz w:val="16"/>
                <w:szCs w:val="16"/>
              </w:rPr>
            </w:pPr>
            <w:r w:rsidRPr="002C61EA">
              <w:rPr>
                <w:rFonts w:ascii="Arial" w:eastAsia="Times New Roman" w:hAnsi="Arial" w:cs="Arial"/>
                <w:b/>
                <w:bCs/>
                <w:sz w:val="16"/>
                <w:szCs w:val="16"/>
              </w:rPr>
              <w:t>3.53%</w:t>
            </w:r>
          </w:p>
        </w:tc>
      </w:tr>
      <w:tr w:rsidR="002C61EA" w:rsidRPr="002C61EA" w14:paraId="2FFDAB56" w14:textId="77777777" w:rsidTr="006507A9">
        <w:trPr>
          <w:trHeight w:val="255"/>
        </w:trPr>
        <w:tc>
          <w:tcPr>
            <w:tcW w:w="1885" w:type="dxa"/>
            <w:tcBorders>
              <w:top w:val="nil"/>
              <w:left w:val="single" w:sz="4" w:space="0" w:color="auto"/>
              <w:bottom w:val="single" w:sz="4" w:space="0" w:color="auto"/>
              <w:right w:val="nil"/>
            </w:tcBorders>
            <w:shd w:val="clear" w:color="auto" w:fill="auto"/>
            <w:noWrap/>
            <w:vAlign w:val="bottom"/>
            <w:hideMark/>
          </w:tcPr>
          <w:p w14:paraId="390C875C" w14:textId="77777777" w:rsidR="002C61EA" w:rsidRPr="002C61EA" w:rsidRDefault="002C61EA" w:rsidP="002C61EA">
            <w:pPr>
              <w:rPr>
                <w:rFonts w:ascii="Calibri" w:eastAsia="Times New Roman" w:hAnsi="Calibri" w:cs="Calibri"/>
                <w:sz w:val="20"/>
                <w:szCs w:val="20"/>
              </w:rPr>
            </w:pPr>
            <w:r w:rsidRPr="002C61EA">
              <w:rPr>
                <w:rFonts w:ascii="Calibri" w:eastAsia="Times New Roman" w:hAnsi="Calibri" w:cs="Calibri"/>
                <w:sz w:val="20"/>
                <w:szCs w:val="20"/>
              </w:rPr>
              <w:t xml:space="preserve">5 </w:t>
            </w:r>
            <w:proofErr w:type="spellStart"/>
            <w:r w:rsidRPr="002C61EA">
              <w:rPr>
                <w:rFonts w:ascii="Calibri" w:eastAsia="Times New Roman" w:hAnsi="Calibri" w:cs="Calibri"/>
                <w:sz w:val="20"/>
                <w:szCs w:val="20"/>
              </w:rPr>
              <w:t>Yr</w:t>
            </w:r>
            <w:proofErr w:type="spellEnd"/>
            <w:r w:rsidRPr="002C61EA">
              <w:rPr>
                <w:rFonts w:ascii="Calibri" w:eastAsia="Times New Roman" w:hAnsi="Calibri" w:cs="Calibri"/>
                <w:sz w:val="20"/>
                <w:szCs w:val="20"/>
              </w:rPr>
              <w:t xml:space="preserve"> Average</w:t>
            </w:r>
          </w:p>
        </w:tc>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30B1ADD0" w14:textId="77777777" w:rsidR="002C61EA" w:rsidRPr="002C61EA" w:rsidRDefault="002C61EA" w:rsidP="002C61EA">
            <w:pPr>
              <w:ind w:firstLineChars="100" w:firstLine="200"/>
              <w:jc w:val="right"/>
              <w:rPr>
                <w:rFonts w:ascii="Calibri" w:eastAsia="Times New Roman" w:hAnsi="Calibri" w:cs="Calibri"/>
                <w:sz w:val="20"/>
                <w:szCs w:val="20"/>
              </w:rPr>
            </w:pPr>
            <w:r w:rsidRPr="002C61EA">
              <w:rPr>
                <w:rFonts w:ascii="Calibri" w:eastAsia="Times New Roman" w:hAnsi="Calibri" w:cs="Calibri"/>
                <w:sz w:val="20"/>
                <w:szCs w:val="20"/>
              </w:rPr>
              <w:t>$37.89</w:t>
            </w:r>
          </w:p>
        </w:tc>
        <w:tc>
          <w:tcPr>
            <w:tcW w:w="1000" w:type="dxa"/>
            <w:tcBorders>
              <w:top w:val="nil"/>
              <w:left w:val="nil"/>
              <w:bottom w:val="single" w:sz="4" w:space="0" w:color="auto"/>
              <w:right w:val="single" w:sz="4" w:space="0" w:color="auto"/>
            </w:tcBorders>
            <w:shd w:val="clear" w:color="auto" w:fill="auto"/>
            <w:noWrap/>
            <w:vAlign w:val="bottom"/>
            <w:hideMark/>
          </w:tcPr>
          <w:p w14:paraId="2B65D2CA" w14:textId="77777777" w:rsidR="002C61EA" w:rsidRPr="002C61EA" w:rsidRDefault="002C61EA" w:rsidP="002C61EA">
            <w:pPr>
              <w:ind w:firstLineChars="100" w:firstLine="160"/>
              <w:jc w:val="right"/>
              <w:rPr>
                <w:rFonts w:ascii="Arial" w:eastAsia="Times New Roman" w:hAnsi="Arial" w:cs="Arial"/>
                <w:sz w:val="16"/>
                <w:szCs w:val="16"/>
              </w:rPr>
            </w:pPr>
            <w:r w:rsidRPr="002C61EA">
              <w:rPr>
                <w:rFonts w:ascii="Arial" w:eastAsia="Times New Roman" w:hAnsi="Arial" w:cs="Arial"/>
                <w:sz w:val="16"/>
                <w:szCs w:val="16"/>
              </w:rPr>
              <w:t>$1,540</w:t>
            </w:r>
          </w:p>
        </w:tc>
        <w:tc>
          <w:tcPr>
            <w:tcW w:w="999" w:type="dxa"/>
            <w:tcBorders>
              <w:top w:val="nil"/>
              <w:left w:val="nil"/>
              <w:bottom w:val="single" w:sz="4" w:space="0" w:color="auto"/>
              <w:right w:val="single" w:sz="4" w:space="0" w:color="auto"/>
            </w:tcBorders>
            <w:shd w:val="clear" w:color="auto" w:fill="auto"/>
            <w:noWrap/>
            <w:vAlign w:val="bottom"/>
            <w:hideMark/>
          </w:tcPr>
          <w:p w14:paraId="7C545B22" w14:textId="77777777" w:rsidR="002C61EA" w:rsidRPr="002C61EA" w:rsidRDefault="002C61EA" w:rsidP="002C61EA">
            <w:pPr>
              <w:ind w:firstLineChars="100" w:firstLine="160"/>
              <w:jc w:val="right"/>
              <w:rPr>
                <w:rFonts w:ascii="Arial" w:eastAsia="Times New Roman" w:hAnsi="Arial" w:cs="Arial"/>
                <w:sz w:val="16"/>
                <w:szCs w:val="16"/>
              </w:rPr>
            </w:pPr>
            <w:r w:rsidRPr="002C61EA">
              <w:rPr>
                <w:rFonts w:ascii="Arial" w:eastAsia="Times New Roman" w:hAnsi="Arial" w:cs="Arial"/>
                <w:sz w:val="16"/>
                <w:szCs w:val="16"/>
              </w:rPr>
              <w:t>2.47%</w:t>
            </w:r>
          </w:p>
        </w:tc>
        <w:tc>
          <w:tcPr>
            <w:tcW w:w="960" w:type="dxa"/>
            <w:tcBorders>
              <w:top w:val="nil"/>
              <w:left w:val="nil"/>
              <w:bottom w:val="single" w:sz="4" w:space="0" w:color="auto"/>
              <w:right w:val="single" w:sz="4" w:space="0" w:color="auto"/>
            </w:tcBorders>
            <w:shd w:val="clear" w:color="auto" w:fill="auto"/>
            <w:noWrap/>
            <w:vAlign w:val="bottom"/>
            <w:hideMark/>
          </w:tcPr>
          <w:p w14:paraId="4B3919B1" w14:textId="77777777" w:rsidR="002C61EA" w:rsidRPr="002C61EA" w:rsidRDefault="002C61EA" w:rsidP="002C61EA">
            <w:pPr>
              <w:ind w:firstLineChars="100" w:firstLine="160"/>
              <w:jc w:val="right"/>
              <w:rPr>
                <w:rFonts w:ascii="Arial" w:eastAsia="Times New Roman" w:hAnsi="Arial" w:cs="Arial"/>
                <w:sz w:val="16"/>
                <w:szCs w:val="16"/>
              </w:rPr>
            </w:pPr>
            <w:r w:rsidRPr="002C61EA">
              <w:rPr>
                <w:rFonts w:ascii="Arial" w:eastAsia="Times New Roman" w:hAnsi="Arial" w:cs="Arial"/>
                <w:sz w:val="16"/>
                <w:szCs w:val="16"/>
              </w:rPr>
              <w:t>1.80%</w:t>
            </w:r>
          </w:p>
        </w:tc>
        <w:tc>
          <w:tcPr>
            <w:tcW w:w="960" w:type="dxa"/>
            <w:tcBorders>
              <w:top w:val="nil"/>
              <w:left w:val="nil"/>
              <w:bottom w:val="single" w:sz="4" w:space="0" w:color="auto"/>
              <w:right w:val="single" w:sz="4" w:space="0" w:color="auto"/>
            </w:tcBorders>
            <w:shd w:val="clear" w:color="auto" w:fill="auto"/>
            <w:noWrap/>
            <w:vAlign w:val="bottom"/>
            <w:hideMark/>
          </w:tcPr>
          <w:p w14:paraId="689B7C55" w14:textId="77777777" w:rsidR="002C61EA" w:rsidRPr="002C61EA" w:rsidRDefault="002C61EA" w:rsidP="002C61EA">
            <w:pPr>
              <w:ind w:firstLineChars="100" w:firstLine="160"/>
              <w:jc w:val="right"/>
              <w:rPr>
                <w:rFonts w:ascii="Arial" w:eastAsia="Times New Roman" w:hAnsi="Arial" w:cs="Arial"/>
                <w:sz w:val="16"/>
                <w:szCs w:val="16"/>
              </w:rPr>
            </w:pPr>
            <w:r w:rsidRPr="002C61EA">
              <w:rPr>
                <w:rFonts w:ascii="Arial" w:eastAsia="Times New Roman" w:hAnsi="Arial" w:cs="Arial"/>
                <w:sz w:val="16"/>
                <w:szCs w:val="16"/>
              </w:rPr>
              <w:t>2.05%</w:t>
            </w:r>
          </w:p>
        </w:tc>
      </w:tr>
      <w:tr w:rsidR="002C61EA" w:rsidRPr="002C61EA" w14:paraId="1AFFFCA9" w14:textId="77777777" w:rsidTr="006507A9">
        <w:trPr>
          <w:trHeight w:val="255"/>
        </w:trPr>
        <w:tc>
          <w:tcPr>
            <w:tcW w:w="1885" w:type="dxa"/>
            <w:tcBorders>
              <w:top w:val="nil"/>
              <w:left w:val="single" w:sz="4" w:space="0" w:color="auto"/>
              <w:bottom w:val="single" w:sz="4" w:space="0" w:color="auto"/>
              <w:right w:val="nil"/>
            </w:tcBorders>
            <w:shd w:val="clear" w:color="auto" w:fill="auto"/>
            <w:noWrap/>
            <w:vAlign w:val="bottom"/>
            <w:hideMark/>
          </w:tcPr>
          <w:p w14:paraId="31A2CFA5" w14:textId="77777777" w:rsidR="002C61EA" w:rsidRPr="002C61EA" w:rsidRDefault="002C61EA" w:rsidP="002C61EA">
            <w:pPr>
              <w:rPr>
                <w:rFonts w:ascii="Calibri" w:eastAsia="Times New Roman" w:hAnsi="Calibri" w:cs="Calibri"/>
                <w:sz w:val="20"/>
                <w:szCs w:val="20"/>
              </w:rPr>
            </w:pPr>
            <w:r w:rsidRPr="002C61EA">
              <w:rPr>
                <w:rFonts w:ascii="Calibri" w:eastAsia="Times New Roman" w:hAnsi="Calibri" w:cs="Calibri"/>
                <w:sz w:val="20"/>
                <w:szCs w:val="20"/>
              </w:rPr>
              <w:t xml:space="preserve">10 </w:t>
            </w:r>
            <w:proofErr w:type="spellStart"/>
            <w:r w:rsidRPr="002C61EA">
              <w:rPr>
                <w:rFonts w:ascii="Calibri" w:eastAsia="Times New Roman" w:hAnsi="Calibri" w:cs="Calibri"/>
                <w:sz w:val="20"/>
                <w:szCs w:val="20"/>
              </w:rPr>
              <w:t>Yr</w:t>
            </w:r>
            <w:proofErr w:type="spellEnd"/>
            <w:r w:rsidRPr="002C61EA">
              <w:rPr>
                <w:rFonts w:ascii="Calibri" w:eastAsia="Times New Roman" w:hAnsi="Calibri" w:cs="Calibri"/>
                <w:sz w:val="20"/>
                <w:szCs w:val="20"/>
              </w:rPr>
              <w:t xml:space="preserve"> Average</w:t>
            </w:r>
          </w:p>
        </w:tc>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4E04B8C5" w14:textId="77777777" w:rsidR="002C61EA" w:rsidRPr="002C61EA" w:rsidRDefault="002C61EA" w:rsidP="002C61EA">
            <w:pPr>
              <w:ind w:firstLineChars="100" w:firstLine="200"/>
              <w:jc w:val="right"/>
              <w:rPr>
                <w:rFonts w:ascii="Calibri" w:eastAsia="Times New Roman" w:hAnsi="Calibri" w:cs="Calibri"/>
                <w:sz w:val="20"/>
                <w:szCs w:val="20"/>
              </w:rPr>
            </w:pPr>
            <w:r w:rsidRPr="002C61EA">
              <w:rPr>
                <w:rFonts w:ascii="Calibri" w:eastAsia="Times New Roman" w:hAnsi="Calibri" w:cs="Calibri"/>
                <w:sz w:val="20"/>
                <w:szCs w:val="20"/>
              </w:rPr>
              <w:t>$38.67</w:t>
            </w:r>
          </w:p>
        </w:tc>
        <w:tc>
          <w:tcPr>
            <w:tcW w:w="1000" w:type="dxa"/>
            <w:tcBorders>
              <w:top w:val="nil"/>
              <w:left w:val="nil"/>
              <w:bottom w:val="single" w:sz="4" w:space="0" w:color="auto"/>
              <w:right w:val="single" w:sz="4" w:space="0" w:color="auto"/>
            </w:tcBorders>
            <w:shd w:val="clear" w:color="auto" w:fill="auto"/>
            <w:noWrap/>
            <w:vAlign w:val="bottom"/>
            <w:hideMark/>
          </w:tcPr>
          <w:p w14:paraId="26313084" w14:textId="77777777" w:rsidR="002C61EA" w:rsidRPr="002C61EA" w:rsidRDefault="002C61EA" w:rsidP="002C61EA">
            <w:pPr>
              <w:ind w:firstLineChars="100" w:firstLine="160"/>
              <w:jc w:val="right"/>
              <w:rPr>
                <w:rFonts w:ascii="Arial" w:eastAsia="Times New Roman" w:hAnsi="Arial" w:cs="Arial"/>
                <w:sz w:val="16"/>
                <w:szCs w:val="16"/>
              </w:rPr>
            </w:pPr>
            <w:r w:rsidRPr="002C61EA">
              <w:rPr>
                <w:rFonts w:ascii="Arial" w:eastAsia="Times New Roman" w:hAnsi="Arial" w:cs="Arial"/>
                <w:sz w:val="16"/>
                <w:szCs w:val="16"/>
              </w:rPr>
              <w:t>$1,443</w:t>
            </w:r>
          </w:p>
        </w:tc>
        <w:tc>
          <w:tcPr>
            <w:tcW w:w="999" w:type="dxa"/>
            <w:tcBorders>
              <w:top w:val="nil"/>
              <w:left w:val="nil"/>
              <w:bottom w:val="single" w:sz="4" w:space="0" w:color="auto"/>
              <w:right w:val="single" w:sz="4" w:space="0" w:color="auto"/>
            </w:tcBorders>
            <w:shd w:val="clear" w:color="auto" w:fill="auto"/>
            <w:noWrap/>
            <w:vAlign w:val="bottom"/>
            <w:hideMark/>
          </w:tcPr>
          <w:p w14:paraId="481EEE5A" w14:textId="77777777" w:rsidR="002C61EA" w:rsidRPr="002C61EA" w:rsidRDefault="002C61EA" w:rsidP="002C61EA">
            <w:pPr>
              <w:ind w:firstLineChars="100" w:firstLine="160"/>
              <w:jc w:val="right"/>
              <w:rPr>
                <w:rFonts w:ascii="Arial" w:eastAsia="Times New Roman" w:hAnsi="Arial" w:cs="Arial"/>
                <w:sz w:val="16"/>
                <w:szCs w:val="16"/>
              </w:rPr>
            </w:pPr>
            <w:r w:rsidRPr="002C61EA">
              <w:rPr>
                <w:rFonts w:ascii="Arial" w:eastAsia="Times New Roman" w:hAnsi="Arial" w:cs="Arial"/>
                <w:sz w:val="16"/>
                <w:szCs w:val="16"/>
              </w:rPr>
              <w:t>2.71%</w:t>
            </w:r>
          </w:p>
        </w:tc>
        <w:tc>
          <w:tcPr>
            <w:tcW w:w="960" w:type="dxa"/>
            <w:tcBorders>
              <w:top w:val="nil"/>
              <w:left w:val="nil"/>
              <w:bottom w:val="single" w:sz="4" w:space="0" w:color="auto"/>
              <w:right w:val="single" w:sz="4" w:space="0" w:color="auto"/>
            </w:tcBorders>
            <w:shd w:val="clear" w:color="auto" w:fill="auto"/>
            <w:noWrap/>
            <w:vAlign w:val="bottom"/>
            <w:hideMark/>
          </w:tcPr>
          <w:p w14:paraId="65AAC796" w14:textId="77777777" w:rsidR="002C61EA" w:rsidRPr="002C61EA" w:rsidRDefault="002C61EA" w:rsidP="002C61EA">
            <w:pPr>
              <w:ind w:firstLineChars="100" w:firstLine="160"/>
              <w:jc w:val="right"/>
              <w:rPr>
                <w:rFonts w:ascii="Arial" w:eastAsia="Times New Roman" w:hAnsi="Arial" w:cs="Arial"/>
                <w:sz w:val="16"/>
                <w:szCs w:val="16"/>
              </w:rPr>
            </w:pPr>
            <w:r w:rsidRPr="002C61EA">
              <w:rPr>
                <w:rFonts w:ascii="Arial" w:eastAsia="Times New Roman" w:hAnsi="Arial" w:cs="Arial"/>
                <w:sz w:val="16"/>
                <w:szCs w:val="16"/>
              </w:rPr>
              <w:t>1.66%</w:t>
            </w:r>
          </w:p>
        </w:tc>
        <w:tc>
          <w:tcPr>
            <w:tcW w:w="960" w:type="dxa"/>
            <w:tcBorders>
              <w:top w:val="nil"/>
              <w:left w:val="nil"/>
              <w:bottom w:val="single" w:sz="4" w:space="0" w:color="auto"/>
              <w:right w:val="single" w:sz="4" w:space="0" w:color="auto"/>
            </w:tcBorders>
            <w:shd w:val="clear" w:color="auto" w:fill="auto"/>
            <w:noWrap/>
            <w:vAlign w:val="bottom"/>
            <w:hideMark/>
          </w:tcPr>
          <w:p w14:paraId="63B7BDFA" w14:textId="77777777" w:rsidR="002C61EA" w:rsidRPr="002C61EA" w:rsidRDefault="002C61EA" w:rsidP="002C61EA">
            <w:pPr>
              <w:ind w:firstLineChars="100" w:firstLine="160"/>
              <w:jc w:val="right"/>
              <w:rPr>
                <w:rFonts w:ascii="Arial" w:eastAsia="Times New Roman" w:hAnsi="Arial" w:cs="Arial"/>
                <w:sz w:val="16"/>
                <w:szCs w:val="16"/>
              </w:rPr>
            </w:pPr>
            <w:r w:rsidRPr="002C61EA">
              <w:rPr>
                <w:rFonts w:ascii="Arial" w:eastAsia="Times New Roman" w:hAnsi="Arial" w:cs="Arial"/>
                <w:sz w:val="16"/>
                <w:szCs w:val="16"/>
              </w:rPr>
              <w:t>2.12%</w:t>
            </w:r>
          </w:p>
        </w:tc>
      </w:tr>
      <w:tr w:rsidR="002C61EA" w:rsidRPr="002C61EA" w14:paraId="2EEDD432" w14:textId="77777777" w:rsidTr="006507A9">
        <w:trPr>
          <w:trHeight w:val="255"/>
        </w:trPr>
        <w:tc>
          <w:tcPr>
            <w:tcW w:w="1885" w:type="dxa"/>
            <w:tcBorders>
              <w:top w:val="nil"/>
              <w:left w:val="single" w:sz="4" w:space="0" w:color="auto"/>
              <w:bottom w:val="single" w:sz="4" w:space="0" w:color="auto"/>
              <w:right w:val="nil"/>
            </w:tcBorders>
            <w:shd w:val="clear" w:color="auto" w:fill="auto"/>
            <w:noWrap/>
            <w:vAlign w:val="bottom"/>
            <w:hideMark/>
          </w:tcPr>
          <w:p w14:paraId="698C94E4" w14:textId="77777777" w:rsidR="002C61EA" w:rsidRPr="002C61EA" w:rsidRDefault="002C61EA" w:rsidP="002C61EA">
            <w:pPr>
              <w:rPr>
                <w:rFonts w:ascii="Calibri" w:eastAsia="Times New Roman" w:hAnsi="Calibri" w:cs="Calibri"/>
                <w:sz w:val="20"/>
                <w:szCs w:val="20"/>
              </w:rPr>
            </w:pPr>
            <w:r w:rsidRPr="002C61EA">
              <w:rPr>
                <w:rFonts w:ascii="Calibri" w:eastAsia="Times New Roman" w:hAnsi="Calibri" w:cs="Calibri"/>
                <w:sz w:val="20"/>
                <w:szCs w:val="20"/>
              </w:rPr>
              <w:t xml:space="preserve">15 </w:t>
            </w:r>
            <w:proofErr w:type="spellStart"/>
            <w:r w:rsidRPr="002C61EA">
              <w:rPr>
                <w:rFonts w:ascii="Calibri" w:eastAsia="Times New Roman" w:hAnsi="Calibri" w:cs="Calibri"/>
                <w:sz w:val="20"/>
                <w:szCs w:val="20"/>
              </w:rPr>
              <w:t>Yr</w:t>
            </w:r>
            <w:proofErr w:type="spellEnd"/>
            <w:r w:rsidRPr="002C61EA">
              <w:rPr>
                <w:rFonts w:ascii="Calibri" w:eastAsia="Times New Roman" w:hAnsi="Calibri" w:cs="Calibri"/>
                <w:sz w:val="20"/>
                <w:szCs w:val="20"/>
              </w:rPr>
              <w:t xml:space="preserve"> Average</w:t>
            </w:r>
          </w:p>
        </w:tc>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5138E331" w14:textId="77777777" w:rsidR="002C61EA" w:rsidRPr="002C61EA" w:rsidRDefault="002C61EA" w:rsidP="002C61EA">
            <w:pPr>
              <w:ind w:firstLineChars="100" w:firstLine="200"/>
              <w:jc w:val="right"/>
              <w:rPr>
                <w:rFonts w:ascii="Calibri" w:eastAsia="Times New Roman" w:hAnsi="Calibri" w:cs="Calibri"/>
                <w:sz w:val="20"/>
                <w:szCs w:val="20"/>
              </w:rPr>
            </w:pPr>
            <w:r w:rsidRPr="002C61EA">
              <w:rPr>
                <w:rFonts w:ascii="Calibri" w:eastAsia="Times New Roman" w:hAnsi="Calibri" w:cs="Calibri"/>
                <w:sz w:val="20"/>
                <w:szCs w:val="20"/>
              </w:rPr>
              <w:t>$41.25</w:t>
            </w:r>
          </w:p>
        </w:tc>
        <w:tc>
          <w:tcPr>
            <w:tcW w:w="1000" w:type="dxa"/>
            <w:tcBorders>
              <w:top w:val="nil"/>
              <w:left w:val="nil"/>
              <w:bottom w:val="single" w:sz="4" w:space="0" w:color="auto"/>
              <w:right w:val="single" w:sz="4" w:space="0" w:color="auto"/>
            </w:tcBorders>
            <w:shd w:val="clear" w:color="auto" w:fill="auto"/>
            <w:noWrap/>
            <w:vAlign w:val="bottom"/>
            <w:hideMark/>
          </w:tcPr>
          <w:p w14:paraId="0E70AC04" w14:textId="77777777" w:rsidR="002C61EA" w:rsidRPr="002C61EA" w:rsidRDefault="002C61EA" w:rsidP="002C61EA">
            <w:pPr>
              <w:ind w:firstLineChars="100" w:firstLine="160"/>
              <w:jc w:val="right"/>
              <w:rPr>
                <w:rFonts w:ascii="Arial" w:eastAsia="Times New Roman" w:hAnsi="Arial" w:cs="Arial"/>
                <w:sz w:val="16"/>
                <w:szCs w:val="16"/>
              </w:rPr>
            </w:pPr>
            <w:r w:rsidRPr="002C61EA">
              <w:rPr>
                <w:rFonts w:ascii="Arial" w:eastAsia="Times New Roman" w:hAnsi="Arial" w:cs="Arial"/>
                <w:sz w:val="16"/>
                <w:szCs w:val="16"/>
              </w:rPr>
              <w:t>$1,327</w:t>
            </w:r>
          </w:p>
        </w:tc>
        <w:tc>
          <w:tcPr>
            <w:tcW w:w="999" w:type="dxa"/>
            <w:tcBorders>
              <w:top w:val="nil"/>
              <w:left w:val="nil"/>
              <w:bottom w:val="single" w:sz="4" w:space="0" w:color="auto"/>
              <w:right w:val="single" w:sz="4" w:space="0" w:color="auto"/>
            </w:tcBorders>
            <w:shd w:val="clear" w:color="auto" w:fill="auto"/>
            <w:noWrap/>
            <w:vAlign w:val="bottom"/>
            <w:hideMark/>
          </w:tcPr>
          <w:p w14:paraId="1383C76F" w14:textId="77777777" w:rsidR="002C61EA" w:rsidRPr="002C61EA" w:rsidRDefault="002C61EA" w:rsidP="002C61EA">
            <w:pPr>
              <w:ind w:firstLineChars="100" w:firstLine="160"/>
              <w:jc w:val="right"/>
              <w:rPr>
                <w:rFonts w:ascii="Arial" w:eastAsia="Times New Roman" w:hAnsi="Arial" w:cs="Arial"/>
                <w:sz w:val="16"/>
                <w:szCs w:val="16"/>
              </w:rPr>
            </w:pPr>
            <w:r w:rsidRPr="002C61EA">
              <w:rPr>
                <w:rFonts w:ascii="Arial" w:eastAsia="Times New Roman" w:hAnsi="Arial" w:cs="Arial"/>
                <w:sz w:val="16"/>
                <w:szCs w:val="16"/>
              </w:rPr>
              <w:t>3.25%</w:t>
            </w:r>
          </w:p>
        </w:tc>
        <w:tc>
          <w:tcPr>
            <w:tcW w:w="960" w:type="dxa"/>
            <w:tcBorders>
              <w:top w:val="nil"/>
              <w:left w:val="nil"/>
              <w:bottom w:val="single" w:sz="4" w:space="0" w:color="auto"/>
              <w:right w:val="single" w:sz="4" w:space="0" w:color="auto"/>
            </w:tcBorders>
            <w:shd w:val="clear" w:color="auto" w:fill="auto"/>
            <w:noWrap/>
            <w:vAlign w:val="bottom"/>
            <w:hideMark/>
          </w:tcPr>
          <w:p w14:paraId="4186A6B8" w14:textId="77777777" w:rsidR="002C61EA" w:rsidRPr="002C61EA" w:rsidRDefault="002C61EA" w:rsidP="002C61EA">
            <w:pPr>
              <w:ind w:firstLineChars="100" w:firstLine="160"/>
              <w:jc w:val="right"/>
              <w:rPr>
                <w:rFonts w:ascii="Arial" w:eastAsia="Times New Roman" w:hAnsi="Arial" w:cs="Arial"/>
                <w:sz w:val="16"/>
                <w:szCs w:val="16"/>
              </w:rPr>
            </w:pPr>
            <w:r w:rsidRPr="002C61EA">
              <w:rPr>
                <w:rFonts w:ascii="Arial" w:eastAsia="Times New Roman" w:hAnsi="Arial" w:cs="Arial"/>
                <w:sz w:val="16"/>
                <w:szCs w:val="16"/>
              </w:rPr>
              <w:t>1.80%</w:t>
            </w:r>
          </w:p>
        </w:tc>
        <w:tc>
          <w:tcPr>
            <w:tcW w:w="960" w:type="dxa"/>
            <w:tcBorders>
              <w:top w:val="nil"/>
              <w:left w:val="nil"/>
              <w:bottom w:val="single" w:sz="4" w:space="0" w:color="auto"/>
              <w:right w:val="single" w:sz="4" w:space="0" w:color="auto"/>
            </w:tcBorders>
            <w:shd w:val="clear" w:color="auto" w:fill="auto"/>
            <w:noWrap/>
            <w:vAlign w:val="bottom"/>
            <w:hideMark/>
          </w:tcPr>
          <w:p w14:paraId="65B6BFED" w14:textId="77777777" w:rsidR="002C61EA" w:rsidRPr="002C61EA" w:rsidRDefault="002C61EA" w:rsidP="002C61EA">
            <w:pPr>
              <w:ind w:firstLineChars="100" w:firstLine="160"/>
              <w:jc w:val="right"/>
              <w:rPr>
                <w:rFonts w:ascii="Arial" w:eastAsia="Times New Roman" w:hAnsi="Arial" w:cs="Arial"/>
                <w:sz w:val="16"/>
                <w:szCs w:val="16"/>
              </w:rPr>
            </w:pPr>
            <w:r w:rsidRPr="002C61EA">
              <w:rPr>
                <w:rFonts w:ascii="Arial" w:eastAsia="Times New Roman" w:hAnsi="Arial" w:cs="Arial"/>
                <w:sz w:val="16"/>
                <w:szCs w:val="16"/>
              </w:rPr>
              <w:t>2.44%</w:t>
            </w:r>
          </w:p>
        </w:tc>
      </w:tr>
      <w:tr w:rsidR="002C61EA" w:rsidRPr="002C61EA" w14:paraId="61F95911" w14:textId="77777777" w:rsidTr="006507A9">
        <w:trPr>
          <w:trHeight w:val="255"/>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74F2479F" w14:textId="77777777" w:rsidR="002C61EA" w:rsidRPr="002C61EA" w:rsidRDefault="002C61EA" w:rsidP="002C61EA">
            <w:pPr>
              <w:rPr>
                <w:rFonts w:ascii="Calibri" w:eastAsia="Times New Roman" w:hAnsi="Calibri" w:cs="Calibri"/>
                <w:sz w:val="20"/>
                <w:szCs w:val="20"/>
              </w:rPr>
            </w:pPr>
            <w:r w:rsidRPr="002C61EA">
              <w:rPr>
                <w:rFonts w:ascii="Calibri" w:eastAsia="Times New Roman" w:hAnsi="Calibri" w:cs="Calibri"/>
                <w:sz w:val="20"/>
                <w:szCs w:val="20"/>
              </w:rPr>
              <w:t xml:space="preserve">20 </w:t>
            </w:r>
            <w:proofErr w:type="spellStart"/>
            <w:r w:rsidRPr="002C61EA">
              <w:rPr>
                <w:rFonts w:ascii="Calibri" w:eastAsia="Times New Roman" w:hAnsi="Calibri" w:cs="Calibri"/>
                <w:sz w:val="20"/>
                <w:szCs w:val="20"/>
              </w:rPr>
              <w:t>Yr</w:t>
            </w:r>
            <w:proofErr w:type="spellEnd"/>
            <w:r w:rsidRPr="002C61EA">
              <w:rPr>
                <w:rFonts w:ascii="Calibri" w:eastAsia="Times New Roman" w:hAnsi="Calibri" w:cs="Calibri"/>
                <w:sz w:val="20"/>
                <w:szCs w:val="20"/>
              </w:rPr>
              <w:t xml:space="preserve"> Average</w:t>
            </w:r>
          </w:p>
        </w:tc>
        <w:tc>
          <w:tcPr>
            <w:tcW w:w="854" w:type="dxa"/>
            <w:tcBorders>
              <w:top w:val="nil"/>
              <w:left w:val="nil"/>
              <w:bottom w:val="single" w:sz="4" w:space="0" w:color="auto"/>
              <w:right w:val="single" w:sz="4" w:space="0" w:color="auto"/>
            </w:tcBorders>
            <w:shd w:val="clear" w:color="auto" w:fill="auto"/>
            <w:noWrap/>
            <w:vAlign w:val="bottom"/>
            <w:hideMark/>
          </w:tcPr>
          <w:p w14:paraId="0DB28737" w14:textId="77777777" w:rsidR="002C61EA" w:rsidRPr="002C61EA" w:rsidRDefault="002C61EA" w:rsidP="002C61EA">
            <w:pPr>
              <w:ind w:firstLineChars="100" w:firstLine="200"/>
              <w:jc w:val="right"/>
              <w:rPr>
                <w:rFonts w:ascii="Calibri" w:eastAsia="Times New Roman" w:hAnsi="Calibri" w:cs="Calibri"/>
                <w:sz w:val="20"/>
                <w:szCs w:val="20"/>
              </w:rPr>
            </w:pPr>
            <w:r w:rsidRPr="002C61EA">
              <w:rPr>
                <w:rFonts w:ascii="Calibri" w:eastAsia="Times New Roman" w:hAnsi="Calibri" w:cs="Calibri"/>
                <w:sz w:val="20"/>
                <w:szCs w:val="20"/>
              </w:rPr>
              <w:t>$43.97</w:t>
            </w:r>
          </w:p>
        </w:tc>
        <w:tc>
          <w:tcPr>
            <w:tcW w:w="1000" w:type="dxa"/>
            <w:tcBorders>
              <w:top w:val="nil"/>
              <w:left w:val="nil"/>
              <w:bottom w:val="single" w:sz="4" w:space="0" w:color="auto"/>
              <w:right w:val="single" w:sz="4" w:space="0" w:color="auto"/>
            </w:tcBorders>
            <w:shd w:val="clear" w:color="auto" w:fill="auto"/>
            <w:noWrap/>
            <w:vAlign w:val="bottom"/>
            <w:hideMark/>
          </w:tcPr>
          <w:p w14:paraId="14FA048D" w14:textId="77777777" w:rsidR="002C61EA" w:rsidRPr="002C61EA" w:rsidRDefault="002C61EA" w:rsidP="002C61EA">
            <w:pPr>
              <w:ind w:firstLineChars="100" w:firstLine="160"/>
              <w:jc w:val="right"/>
              <w:rPr>
                <w:rFonts w:ascii="Arial" w:eastAsia="Times New Roman" w:hAnsi="Arial" w:cs="Arial"/>
                <w:sz w:val="16"/>
                <w:szCs w:val="16"/>
              </w:rPr>
            </w:pPr>
            <w:r w:rsidRPr="002C61EA">
              <w:rPr>
                <w:rFonts w:ascii="Arial" w:eastAsia="Times New Roman" w:hAnsi="Arial" w:cs="Arial"/>
                <w:sz w:val="16"/>
                <w:szCs w:val="16"/>
              </w:rPr>
              <w:t>$1,256</w:t>
            </w:r>
          </w:p>
        </w:tc>
        <w:tc>
          <w:tcPr>
            <w:tcW w:w="999" w:type="dxa"/>
            <w:tcBorders>
              <w:top w:val="nil"/>
              <w:left w:val="nil"/>
              <w:bottom w:val="single" w:sz="4" w:space="0" w:color="auto"/>
              <w:right w:val="single" w:sz="4" w:space="0" w:color="auto"/>
            </w:tcBorders>
            <w:shd w:val="clear" w:color="auto" w:fill="auto"/>
            <w:noWrap/>
            <w:vAlign w:val="bottom"/>
            <w:hideMark/>
          </w:tcPr>
          <w:p w14:paraId="568D5835" w14:textId="77777777" w:rsidR="002C61EA" w:rsidRPr="002C61EA" w:rsidRDefault="002C61EA" w:rsidP="002C61EA">
            <w:pPr>
              <w:ind w:firstLineChars="100" w:firstLine="160"/>
              <w:jc w:val="right"/>
              <w:rPr>
                <w:rFonts w:ascii="Arial" w:eastAsia="Times New Roman" w:hAnsi="Arial" w:cs="Arial"/>
                <w:sz w:val="16"/>
                <w:szCs w:val="16"/>
              </w:rPr>
            </w:pPr>
            <w:r w:rsidRPr="002C61EA">
              <w:rPr>
                <w:rFonts w:ascii="Arial" w:eastAsia="Times New Roman" w:hAnsi="Arial" w:cs="Arial"/>
                <w:sz w:val="16"/>
                <w:szCs w:val="16"/>
              </w:rPr>
              <w:t>3.69%</w:t>
            </w:r>
          </w:p>
        </w:tc>
        <w:tc>
          <w:tcPr>
            <w:tcW w:w="960" w:type="dxa"/>
            <w:tcBorders>
              <w:top w:val="nil"/>
              <w:left w:val="nil"/>
              <w:bottom w:val="single" w:sz="4" w:space="0" w:color="auto"/>
              <w:right w:val="single" w:sz="4" w:space="0" w:color="auto"/>
            </w:tcBorders>
            <w:shd w:val="clear" w:color="auto" w:fill="auto"/>
            <w:noWrap/>
            <w:vAlign w:val="bottom"/>
            <w:hideMark/>
          </w:tcPr>
          <w:p w14:paraId="077DD1EF" w14:textId="77777777" w:rsidR="002C61EA" w:rsidRPr="002C61EA" w:rsidRDefault="002C61EA" w:rsidP="002C61EA">
            <w:pPr>
              <w:ind w:firstLineChars="100" w:firstLine="160"/>
              <w:jc w:val="right"/>
              <w:rPr>
                <w:rFonts w:ascii="Arial" w:eastAsia="Times New Roman" w:hAnsi="Arial" w:cs="Arial"/>
                <w:sz w:val="16"/>
                <w:szCs w:val="16"/>
              </w:rPr>
            </w:pPr>
            <w:r w:rsidRPr="002C61EA">
              <w:rPr>
                <w:rFonts w:ascii="Arial" w:eastAsia="Times New Roman" w:hAnsi="Arial" w:cs="Arial"/>
                <w:sz w:val="16"/>
                <w:szCs w:val="16"/>
              </w:rPr>
              <w:t>2.33%</w:t>
            </w:r>
          </w:p>
        </w:tc>
        <w:tc>
          <w:tcPr>
            <w:tcW w:w="960" w:type="dxa"/>
            <w:tcBorders>
              <w:top w:val="nil"/>
              <w:left w:val="nil"/>
              <w:bottom w:val="single" w:sz="4" w:space="0" w:color="auto"/>
              <w:right w:val="single" w:sz="4" w:space="0" w:color="auto"/>
            </w:tcBorders>
            <w:shd w:val="clear" w:color="auto" w:fill="auto"/>
            <w:noWrap/>
            <w:vAlign w:val="bottom"/>
            <w:hideMark/>
          </w:tcPr>
          <w:p w14:paraId="00EB67CA" w14:textId="77777777" w:rsidR="002C61EA" w:rsidRPr="002C61EA" w:rsidRDefault="002C61EA" w:rsidP="002C61EA">
            <w:pPr>
              <w:ind w:firstLineChars="100" w:firstLine="160"/>
              <w:jc w:val="right"/>
              <w:rPr>
                <w:rFonts w:ascii="Arial" w:eastAsia="Times New Roman" w:hAnsi="Arial" w:cs="Arial"/>
                <w:sz w:val="16"/>
                <w:szCs w:val="16"/>
              </w:rPr>
            </w:pPr>
            <w:r w:rsidRPr="002C61EA">
              <w:rPr>
                <w:rFonts w:ascii="Arial" w:eastAsia="Times New Roman" w:hAnsi="Arial" w:cs="Arial"/>
                <w:sz w:val="16"/>
                <w:szCs w:val="16"/>
              </w:rPr>
              <w:t>2.92%</w:t>
            </w:r>
          </w:p>
        </w:tc>
      </w:tr>
      <w:tr w:rsidR="002C61EA" w:rsidRPr="002C61EA" w14:paraId="0F82FA37" w14:textId="77777777" w:rsidTr="006507A9">
        <w:trPr>
          <w:trHeight w:val="255"/>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35DAD338" w14:textId="77777777" w:rsidR="002C61EA" w:rsidRPr="002C61EA" w:rsidRDefault="002C61EA" w:rsidP="002C61EA">
            <w:pPr>
              <w:rPr>
                <w:rFonts w:ascii="Calibri" w:eastAsia="Times New Roman" w:hAnsi="Calibri" w:cs="Calibri"/>
                <w:sz w:val="20"/>
                <w:szCs w:val="20"/>
              </w:rPr>
            </w:pPr>
            <w:r w:rsidRPr="002C61EA">
              <w:rPr>
                <w:rFonts w:ascii="Calibri" w:eastAsia="Times New Roman" w:hAnsi="Calibri" w:cs="Calibri"/>
                <w:sz w:val="20"/>
                <w:szCs w:val="20"/>
              </w:rPr>
              <w:t xml:space="preserve">25 </w:t>
            </w:r>
            <w:proofErr w:type="spellStart"/>
            <w:r w:rsidRPr="002C61EA">
              <w:rPr>
                <w:rFonts w:ascii="Calibri" w:eastAsia="Times New Roman" w:hAnsi="Calibri" w:cs="Calibri"/>
                <w:sz w:val="20"/>
                <w:szCs w:val="20"/>
              </w:rPr>
              <w:t>Yr</w:t>
            </w:r>
            <w:proofErr w:type="spellEnd"/>
            <w:r w:rsidRPr="002C61EA">
              <w:rPr>
                <w:rFonts w:ascii="Calibri" w:eastAsia="Times New Roman" w:hAnsi="Calibri" w:cs="Calibri"/>
                <w:sz w:val="20"/>
                <w:szCs w:val="20"/>
              </w:rPr>
              <w:t xml:space="preserve"> Average</w:t>
            </w:r>
          </w:p>
        </w:tc>
        <w:tc>
          <w:tcPr>
            <w:tcW w:w="854" w:type="dxa"/>
            <w:tcBorders>
              <w:top w:val="nil"/>
              <w:left w:val="nil"/>
              <w:bottom w:val="single" w:sz="4" w:space="0" w:color="auto"/>
              <w:right w:val="single" w:sz="4" w:space="0" w:color="auto"/>
            </w:tcBorders>
            <w:shd w:val="clear" w:color="auto" w:fill="auto"/>
            <w:noWrap/>
            <w:vAlign w:val="bottom"/>
            <w:hideMark/>
          </w:tcPr>
          <w:p w14:paraId="26E5DBD2" w14:textId="77777777" w:rsidR="002C61EA" w:rsidRPr="002C61EA" w:rsidRDefault="002C61EA" w:rsidP="002C61EA">
            <w:pPr>
              <w:ind w:firstLineChars="100" w:firstLine="200"/>
              <w:jc w:val="right"/>
              <w:rPr>
                <w:rFonts w:ascii="Calibri" w:eastAsia="Times New Roman" w:hAnsi="Calibri" w:cs="Calibri"/>
                <w:sz w:val="20"/>
                <w:szCs w:val="20"/>
              </w:rPr>
            </w:pPr>
            <w:r w:rsidRPr="002C61EA">
              <w:rPr>
                <w:rFonts w:ascii="Calibri" w:eastAsia="Times New Roman" w:hAnsi="Calibri" w:cs="Calibri"/>
                <w:sz w:val="20"/>
                <w:szCs w:val="20"/>
              </w:rPr>
              <w:t>$45.32</w:t>
            </w:r>
          </w:p>
        </w:tc>
        <w:tc>
          <w:tcPr>
            <w:tcW w:w="1000" w:type="dxa"/>
            <w:tcBorders>
              <w:top w:val="nil"/>
              <w:left w:val="nil"/>
              <w:bottom w:val="single" w:sz="4" w:space="0" w:color="auto"/>
              <w:right w:val="single" w:sz="4" w:space="0" w:color="auto"/>
            </w:tcBorders>
            <w:shd w:val="clear" w:color="auto" w:fill="auto"/>
            <w:noWrap/>
            <w:vAlign w:val="bottom"/>
            <w:hideMark/>
          </w:tcPr>
          <w:p w14:paraId="5B2EBDE9" w14:textId="77777777" w:rsidR="002C61EA" w:rsidRPr="002C61EA" w:rsidRDefault="002C61EA" w:rsidP="002C61EA">
            <w:pPr>
              <w:ind w:firstLineChars="100" w:firstLine="160"/>
              <w:jc w:val="right"/>
              <w:rPr>
                <w:rFonts w:ascii="Arial" w:eastAsia="Times New Roman" w:hAnsi="Arial" w:cs="Arial"/>
                <w:sz w:val="16"/>
                <w:szCs w:val="16"/>
              </w:rPr>
            </w:pPr>
            <w:r w:rsidRPr="002C61EA">
              <w:rPr>
                <w:rFonts w:ascii="Arial" w:eastAsia="Times New Roman" w:hAnsi="Arial" w:cs="Arial"/>
                <w:sz w:val="16"/>
                <w:szCs w:val="16"/>
              </w:rPr>
              <w:t>$1,187</w:t>
            </w:r>
          </w:p>
        </w:tc>
        <w:tc>
          <w:tcPr>
            <w:tcW w:w="999" w:type="dxa"/>
            <w:tcBorders>
              <w:top w:val="nil"/>
              <w:left w:val="nil"/>
              <w:bottom w:val="single" w:sz="4" w:space="0" w:color="auto"/>
              <w:right w:val="single" w:sz="4" w:space="0" w:color="auto"/>
            </w:tcBorders>
            <w:shd w:val="clear" w:color="auto" w:fill="auto"/>
            <w:noWrap/>
            <w:vAlign w:val="bottom"/>
            <w:hideMark/>
          </w:tcPr>
          <w:p w14:paraId="2B387D72" w14:textId="77777777" w:rsidR="002C61EA" w:rsidRPr="002C61EA" w:rsidRDefault="002C61EA" w:rsidP="002C61EA">
            <w:pPr>
              <w:ind w:firstLineChars="100" w:firstLine="160"/>
              <w:jc w:val="right"/>
              <w:rPr>
                <w:rFonts w:ascii="Arial" w:eastAsia="Times New Roman" w:hAnsi="Arial" w:cs="Arial"/>
                <w:sz w:val="16"/>
                <w:szCs w:val="16"/>
              </w:rPr>
            </w:pPr>
            <w:r w:rsidRPr="002C61EA">
              <w:rPr>
                <w:rFonts w:ascii="Arial" w:eastAsia="Times New Roman" w:hAnsi="Arial" w:cs="Arial"/>
                <w:sz w:val="16"/>
                <w:szCs w:val="16"/>
              </w:rPr>
              <w:t>4.08%</w:t>
            </w:r>
          </w:p>
        </w:tc>
        <w:tc>
          <w:tcPr>
            <w:tcW w:w="960" w:type="dxa"/>
            <w:tcBorders>
              <w:top w:val="nil"/>
              <w:left w:val="nil"/>
              <w:bottom w:val="single" w:sz="4" w:space="0" w:color="auto"/>
              <w:right w:val="single" w:sz="4" w:space="0" w:color="auto"/>
            </w:tcBorders>
            <w:shd w:val="clear" w:color="auto" w:fill="auto"/>
            <w:noWrap/>
            <w:vAlign w:val="bottom"/>
            <w:hideMark/>
          </w:tcPr>
          <w:p w14:paraId="3131442C" w14:textId="77777777" w:rsidR="002C61EA" w:rsidRPr="002C61EA" w:rsidRDefault="002C61EA" w:rsidP="002C61EA">
            <w:pPr>
              <w:ind w:firstLineChars="100" w:firstLine="160"/>
              <w:jc w:val="right"/>
              <w:rPr>
                <w:rFonts w:ascii="Arial" w:eastAsia="Times New Roman" w:hAnsi="Arial" w:cs="Arial"/>
                <w:sz w:val="16"/>
                <w:szCs w:val="16"/>
              </w:rPr>
            </w:pPr>
            <w:r w:rsidRPr="002C61EA">
              <w:rPr>
                <w:rFonts w:ascii="Arial" w:eastAsia="Times New Roman" w:hAnsi="Arial" w:cs="Arial"/>
                <w:sz w:val="16"/>
                <w:szCs w:val="16"/>
              </w:rPr>
              <w:t>2.90%</w:t>
            </w:r>
          </w:p>
        </w:tc>
        <w:tc>
          <w:tcPr>
            <w:tcW w:w="960" w:type="dxa"/>
            <w:tcBorders>
              <w:top w:val="nil"/>
              <w:left w:val="nil"/>
              <w:bottom w:val="single" w:sz="4" w:space="0" w:color="auto"/>
              <w:right w:val="single" w:sz="4" w:space="0" w:color="auto"/>
            </w:tcBorders>
            <w:shd w:val="clear" w:color="auto" w:fill="auto"/>
            <w:noWrap/>
            <w:vAlign w:val="bottom"/>
            <w:hideMark/>
          </w:tcPr>
          <w:p w14:paraId="4A1129F2" w14:textId="77777777" w:rsidR="002C61EA" w:rsidRPr="002C61EA" w:rsidRDefault="002C61EA" w:rsidP="002C61EA">
            <w:pPr>
              <w:ind w:firstLineChars="100" w:firstLine="160"/>
              <w:jc w:val="right"/>
              <w:rPr>
                <w:rFonts w:ascii="Arial" w:eastAsia="Times New Roman" w:hAnsi="Arial" w:cs="Arial"/>
                <w:sz w:val="16"/>
                <w:szCs w:val="16"/>
              </w:rPr>
            </w:pPr>
            <w:r w:rsidRPr="002C61EA">
              <w:rPr>
                <w:rFonts w:ascii="Arial" w:eastAsia="Times New Roman" w:hAnsi="Arial" w:cs="Arial"/>
                <w:sz w:val="16"/>
                <w:szCs w:val="16"/>
              </w:rPr>
              <w:t>3.42%</w:t>
            </w:r>
          </w:p>
        </w:tc>
      </w:tr>
      <w:tr w:rsidR="002C61EA" w:rsidRPr="002C61EA" w14:paraId="70A69568" w14:textId="77777777" w:rsidTr="006507A9">
        <w:trPr>
          <w:trHeight w:val="255"/>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2EC5C688" w14:textId="77777777" w:rsidR="002C61EA" w:rsidRPr="002C61EA" w:rsidRDefault="002C61EA" w:rsidP="002C61EA">
            <w:pPr>
              <w:rPr>
                <w:rFonts w:ascii="Calibri" w:eastAsia="Times New Roman" w:hAnsi="Calibri" w:cs="Calibri"/>
                <w:sz w:val="20"/>
                <w:szCs w:val="20"/>
              </w:rPr>
            </w:pPr>
            <w:r w:rsidRPr="002C61EA">
              <w:rPr>
                <w:rFonts w:ascii="Calibri" w:eastAsia="Times New Roman" w:hAnsi="Calibri" w:cs="Calibri"/>
                <w:sz w:val="20"/>
                <w:szCs w:val="20"/>
              </w:rPr>
              <w:t xml:space="preserve">30 </w:t>
            </w:r>
            <w:proofErr w:type="spellStart"/>
            <w:r w:rsidRPr="002C61EA">
              <w:rPr>
                <w:rFonts w:ascii="Calibri" w:eastAsia="Times New Roman" w:hAnsi="Calibri" w:cs="Calibri"/>
                <w:sz w:val="20"/>
                <w:szCs w:val="20"/>
              </w:rPr>
              <w:t>Yr</w:t>
            </w:r>
            <w:proofErr w:type="spellEnd"/>
            <w:r w:rsidRPr="002C61EA">
              <w:rPr>
                <w:rFonts w:ascii="Calibri" w:eastAsia="Times New Roman" w:hAnsi="Calibri" w:cs="Calibri"/>
                <w:sz w:val="20"/>
                <w:szCs w:val="20"/>
              </w:rPr>
              <w:t xml:space="preserve"> Average</w:t>
            </w:r>
          </w:p>
        </w:tc>
        <w:tc>
          <w:tcPr>
            <w:tcW w:w="854" w:type="dxa"/>
            <w:tcBorders>
              <w:top w:val="nil"/>
              <w:left w:val="nil"/>
              <w:bottom w:val="single" w:sz="4" w:space="0" w:color="auto"/>
              <w:right w:val="single" w:sz="4" w:space="0" w:color="auto"/>
            </w:tcBorders>
            <w:shd w:val="clear" w:color="auto" w:fill="auto"/>
            <w:noWrap/>
            <w:vAlign w:val="bottom"/>
            <w:hideMark/>
          </w:tcPr>
          <w:p w14:paraId="745E0BDF" w14:textId="77777777" w:rsidR="002C61EA" w:rsidRPr="002C61EA" w:rsidRDefault="002C61EA" w:rsidP="002C61EA">
            <w:pPr>
              <w:ind w:firstLineChars="100" w:firstLine="200"/>
              <w:jc w:val="right"/>
              <w:rPr>
                <w:rFonts w:ascii="Calibri" w:eastAsia="Times New Roman" w:hAnsi="Calibri" w:cs="Calibri"/>
                <w:sz w:val="20"/>
                <w:szCs w:val="20"/>
              </w:rPr>
            </w:pPr>
            <w:r w:rsidRPr="002C61EA">
              <w:rPr>
                <w:rFonts w:ascii="Calibri" w:eastAsia="Times New Roman" w:hAnsi="Calibri" w:cs="Calibri"/>
                <w:sz w:val="20"/>
                <w:szCs w:val="20"/>
              </w:rPr>
              <w:t>$46.48</w:t>
            </w:r>
          </w:p>
        </w:tc>
        <w:tc>
          <w:tcPr>
            <w:tcW w:w="1000" w:type="dxa"/>
            <w:tcBorders>
              <w:top w:val="nil"/>
              <w:left w:val="nil"/>
              <w:bottom w:val="single" w:sz="4" w:space="0" w:color="auto"/>
              <w:right w:val="single" w:sz="4" w:space="0" w:color="auto"/>
            </w:tcBorders>
            <w:shd w:val="clear" w:color="auto" w:fill="auto"/>
            <w:noWrap/>
            <w:vAlign w:val="bottom"/>
            <w:hideMark/>
          </w:tcPr>
          <w:p w14:paraId="56FA5A41" w14:textId="77777777" w:rsidR="002C61EA" w:rsidRPr="002C61EA" w:rsidRDefault="002C61EA" w:rsidP="002C61EA">
            <w:pPr>
              <w:ind w:firstLineChars="100" w:firstLine="160"/>
              <w:jc w:val="right"/>
              <w:rPr>
                <w:rFonts w:ascii="Arial" w:eastAsia="Times New Roman" w:hAnsi="Arial" w:cs="Arial"/>
                <w:sz w:val="16"/>
                <w:szCs w:val="16"/>
              </w:rPr>
            </w:pPr>
            <w:r w:rsidRPr="002C61EA">
              <w:rPr>
                <w:rFonts w:ascii="Arial" w:eastAsia="Times New Roman" w:hAnsi="Arial" w:cs="Arial"/>
                <w:sz w:val="16"/>
                <w:szCs w:val="16"/>
              </w:rPr>
              <w:t>$1,121</w:t>
            </w:r>
          </w:p>
        </w:tc>
        <w:tc>
          <w:tcPr>
            <w:tcW w:w="999" w:type="dxa"/>
            <w:tcBorders>
              <w:top w:val="nil"/>
              <w:left w:val="nil"/>
              <w:bottom w:val="single" w:sz="4" w:space="0" w:color="auto"/>
              <w:right w:val="single" w:sz="4" w:space="0" w:color="auto"/>
            </w:tcBorders>
            <w:shd w:val="clear" w:color="auto" w:fill="auto"/>
            <w:noWrap/>
            <w:vAlign w:val="bottom"/>
            <w:hideMark/>
          </w:tcPr>
          <w:p w14:paraId="5D654D59" w14:textId="77777777" w:rsidR="002C61EA" w:rsidRPr="002C61EA" w:rsidRDefault="002C61EA" w:rsidP="002C61EA">
            <w:pPr>
              <w:ind w:firstLineChars="100" w:firstLine="160"/>
              <w:jc w:val="right"/>
              <w:rPr>
                <w:rFonts w:ascii="Arial" w:eastAsia="Times New Roman" w:hAnsi="Arial" w:cs="Arial"/>
                <w:sz w:val="16"/>
                <w:szCs w:val="16"/>
              </w:rPr>
            </w:pPr>
            <w:r w:rsidRPr="002C61EA">
              <w:rPr>
                <w:rFonts w:ascii="Arial" w:eastAsia="Times New Roman" w:hAnsi="Arial" w:cs="Arial"/>
                <w:sz w:val="16"/>
                <w:szCs w:val="16"/>
              </w:rPr>
              <w:t>4.51%</w:t>
            </w:r>
          </w:p>
        </w:tc>
        <w:tc>
          <w:tcPr>
            <w:tcW w:w="960" w:type="dxa"/>
            <w:tcBorders>
              <w:top w:val="nil"/>
              <w:left w:val="nil"/>
              <w:bottom w:val="single" w:sz="4" w:space="0" w:color="auto"/>
              <w:right w:val="single" w:sz="4" w:space="0" w:color="auto"/>
            </w:tcBorders>
            <w:shd w:val="clear" w:color="auto" w:fill="auto"/>
            <w:noWrap/>
            <w:vAlign w:val="bottom"/>
            <w:hideMark/>
          </w:tcPr>
          <w:p w14:paraId="12553217" w14:textId="77777777" w:rsidR="002C61EA" w:rsidRPr="002C61EA" w:rsidRDefault="002C61EA" w:rsidP="002C61EA">
            <w:pPr>
              <w:ind w:firstLineChars="100" w:firstLine="160"/>
              <w:jc w:val="right"/>
              <w:rPr>
                <w:rFonts w:ascii="Arial" w:eastAsia="Times New Roman" w:hAnsi="Arial" w:cs="Arial"/>
                <w:sz w:val="16"/>
                <w:szCs w:val="16"/>
              </w:rPr>
            </w:pPr>
            <w:r w:rsidRPr="002C61EA">
              <w:rPr>
                <w:rFonts w:ascii="Arial" w:eastAsia="Times New Roman" w:hAnsi="Arial" w:cs="Arial"/>
                <w:sz w:val="16"/>
                <w:szCs w:val="16"/>
              </w:rPr>
              <w:t>3.43%</w:t>
            </w:r>
          </w:p>
        </w:tc>
        <w:tc>
          <w:tcPr>
            <w:tcW w:w="960" w:type="dxa"/>
            <w:tcBorders>
              <w:top w:val="nil"/>
              <w:left w:val="nil"/>
              <w:bottom w:val="single" w:sz="4" w:space="0" w:color="auto"/>
              <w:right w:val="single" w:sz="4" w:space="0" w:color="auto"/>
            </w:tcBorders>
            <w:shd w:val="clear" w:color="auto" w:fill="auto"/>
            <w:noWrap/>
            <w:vAlign w:val="bottom"/>
            <w:hideMark/>
          </w:tcPr>
          <w:p w14:paraId="696F5F44" w14:textId="77777777" w:rsidR="002C61EA" w:rsidRPr="002C61EA" w:rsidRDefault="002C61EA" w:rsidP="002C61EA">
            <w:pPr>
              <w:ind w:firstLineChars="100" w:firstLine="160"/>
              <w:jc w:val="right"/>
              <w:rPr>
                <w:rFonts w:ascii="Arial" w:eastAsia="Times New Roman" w:hAnsi="Arial" w:cs="Arial"/>
                <w:sz w:val="16"/>
                <w:szCs w:val="16"/>
              </w:rPr>
            </w:pPr>
            <w:r w:rsidRPr="002C61EA">
              <w:rPr>
                <w:rFonts w:ascii="Arial" w:eastAsia="Times New Roman" w:hAnsi="Arial" w:cs="Arial"/>
                <w:sz w:val="16"/>
                <w:szCs w:val="16"/>
              </w:rPr>
              <w:t>3.92%</w:t>
            </w:r>
          </w:p>
        </w:tc>
      </w:tr>
      <w:tr w:rsidR="002C61EA" w:rsidRPr="002C61EA" w14:paraId="179BDEA5" w14:textId="77777777" w:rsidTr="006507A9">
        <w:trPr>
          <w:trHeight w:val="255"/>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41BEB197" w14:textId="77777777" w:rsidR="002C61EA" w:rsidRPr="002C61EA" w:rsidRDefault="002C61EA" w:rsidP="002C61EA">
            <w:pPr>
              <w:rPr>
                <w:rFonts w:ascii="Calibri" w:eastAsia="Times New Roman" w:hAnsi="Calibri" w:cs="Calibri"/>
                <w:sz w:val="20"/>
                <w:szCs w:val="20"/>
              </w:rPr>
            </w:pPr>
            <w:r w:rsidRPr="002C61EA">
              <w:rPr>
                <w:rFonts w:ascii="Calibri" w:eastAsia="Times New Roman" w:hAnsi="Calibri" w:cs="Calibri"/>
                <w:sz w:val="20"/>
                <w:szCs w:val="20"/>
              </w:rPr>
              <w:t>Avg Since Inception</w:t>
            </w:r>
          </w:p>
        </w:tc>
        <w:tc>
          <w:tcPr>
            <w:tcW w:w="854" w:type="dxa"/>
            <w:tcBorders>
              <w:top w:val="nil"/>
              <w:left w:val="nil"/>
              <w:bottom w:val="single" w:sz="4" w:space="0" w:color="auto"/>
              <w:right w:val="single" w:sz="4" w:space="0" w:color="auto"/>
            </w:tcBorders>
            <w:shd w:val="clear" w:color="auto" w:fill="auto"/>
            <w:noWrap/>
            <w:vAlign w:val="bottom"/>
            <w:hideMark/>
          </w:tcPr>
          <w:p w14:paraId="4BAFBC9B" w14:textId="77777777" w:rsidR="002C61EA" w:rsidRPr="002C61EA" w:rsidRDefault="002C61EA" w:rsidP="002C61EA">
            <w:pPr>
              <w:ind w:firstLineChars="100" w:firstLine="200"/>
              <w:jc w:val="right"/>
              <w:rPr>
                <w:rFonts w:ascii="Calibri" w:eastAsia="Times New Roman" w:hAnsi="Calibri" w:cs="Calibri"/>
                <w:sz w:val="20"/>
                <w:szCs w:val="20"/>
              </w:rPr>
            </w:pPr>
            <w:r w:rsidRPr="002C61EA">
              <w:rPr>
                <w:rFonts w:ascii="Calibri" w:eastAsia="Times New Roman" w:hAnsi="Calibri" w:cs="Calibri"/>
                <w:sz w:val="20"/>
                <w:szCs w:val="20"/>
              </w:rPr>
              <w:t>$46.22</w:t>
            </w:r>
          </w:p>
        </w:tc>
        <w:tc>
          <w:tcPr>
            <w:tcW w:w="1000" w:type="dxa"/>
            <w:tcBorders>
              <w:top w:val="nil"/>
              <w:left w:val="nil"/>
              <w:bottom w:val="single" w:sz="4" w:space="0" w:color="auto"/>
              <w:right w:val="single" w:sz="4" w:space="0" w:color="auto"/>
            </w:tcBorders>
            <w:shd w:val="clear" w:color="auto" w:fill="auto"/>
            <w:noWrap/>
            <w:vAlign w:val="bottom"/>
            <w:hideMark/>
          </w:tcPr>
          <w:p w14:paraId="2FE35C7A" w14:textId="77777777" w:rsidR="002C61EA" w:rsidRPr="002C61EA" w:rsidRDefault="002C61EA" w:rsidP="002C61EA">
            <w:pPr>
              <w:ind w:firstLineChars="100" w:firstLine="160"/>
              <w:jc w:val="right"/>
              <w:rPr>
                <w:rFonts w:ascii="Arial" w:eastAsia="Times New Roman" w:hAnsi="Arial" w:cs="Arial"/>
                <w:sz w:val="16"/>
                <w:szCs w:val="16"/>
              </w:rPr>
            </w:pPr>
            <w:r w:rsidRPr="002C61EA">
              <w:rPr>
                <w:rFonts w:ascii="Arial" w:eastAsia="Times New Roman" w:hAnsi="Arial" w:cs="Arial"/>
                <w:sz w:val="16"/>
                <w:szCs w:val="16"/>
              </w:rPr>
              <w:t>$1,040</w:t>
            </w:r>
          </w:p>
        </w:tc>
        <w:tc>
          <w:tcPr>
            <w:tcW w:w="999" w:type="dxa"/>
            <w:tcBorders>
              <w:top w:val="nil"/>
              <w:left w:val="nil"/>
              <w:bottom w:val="single" w:sz="4" w:space="0" w:color="auto"/>
              <w:right w:val="single" w:sz="4" w:space="0" w:color="auto"/>
            </w:tcBorders>
            <w:shd w:val="clear" w:color="auto" w:fill="auto"/>
            <w:noWrap/>
            <w:vAlign w:val="bottom"/>
            <w:hideMark/>
          </w:tcPr>
          <w:p w14:paraId="405F89D0" w14:textId="77777777" w:rsidR="002C61EA" w:rsidRPr="002C61EA" w:rsidRDefault="002C61EA" w:rsidP="002C61EA">
            <w:pPr>
              <w:ind w:firstLineChars="100" w:firstLine="160"/>
              <w:jc w:val="right"/>
              <w:rPr>
                <w:rFonts w:ascii="Arial" w:eastAsia="Times New Roman" w:hAnsi="Arial" w:cs="Arial"/>
                <w:sz w:val="16"/>
                <w:szCs w:val="16"/>
              </w:rPr>
            </w:pPr>
            <w:r w:rsidRPr="002C61EA">
              <w:rPr>
                <w:rFonts w:ascii="Arial" w:eastAsia="Times New Roman" w:hAnsi="Arial" w:cs="Arial"/>
                <w:sz w:val="16"/>
                <w:szCs w:val="16"/>
              </w:rPr>
              <w:t>4.92%</w:t>
            </w:r>
          </w:p>
        </w:tc>
        <w:tc>
          <w:tcPr>
            <w:tcW w:w="960" w:type="dxa"/>
            <w:tcBorders>
              <w:top w:val="nil"/>
              <w:left w:val="nil"/>
              <w:bottom w:val="single" w:sz="4" w:space="0" w:color="auto"/>
              <w:right w:val="single" w:sz="4" w:space="0" w:color="auto"/>
            </w:tcBorders>
            <w:shd w:val="clear" w:color="auto" w:fill="auto"/>
            <w:noWrap/>
            <w:vAlign w:val="bottom"/>
            <w:hideMark/>
          </w:tcPr>
          <w:p w14:paraId="2C36D412" w14:textId="77777777" w:rsidR="002C61EA" w:rsidRPr="002C61EA" w:rsidRDefault="002C61EA" w:rsidP="002C61EA">
            <w:pPr>
              <w:ind w:firstLineChars="100" w:firstLine="160"/>
              <w:jc w:val="right"/>
              <w:rPr>
                <w:rFonts w:ascii="Arial" w:eastAsia="Times New Roman" w:hAnsi="Arial" w:cs="Arial"/>
                <w:sz w:val="16"/>
                <w:szCs w:val="16"/>
              </w:rPr>
            </w:pPr>
            <w:r w:rsidRPr="002C61EA">
              <w:rPr>
                <w:rFonts w:ascii="Arial" w:eastAsia="Times New Roman" w:hAnsi="Arial" w:cs="Arial"/>
                <w:sz w:val="16"/>
                <w:szCs w:val="16"/>
              </w:rPr>
              <w:t>4.16%</w:t>
            </w:r>
          </w:p>
        </w:tc>
        <w:tc>
          <w:tcPr>
            <w:tcW w:w="960" w:type="dxa"/>
            <w:tcBorders>
              <w:top w:val="nil"/>
              <w:left w:val="nil"/>
              <w:bottom w:val="single" w:sz="4" w:space="0" w:color="auto"/>
              <w:right w:val="single" w:sz="4" w:space="0" w:color="auto"/>
            </w:tcBorders>
            <w:shd w:val="clear" w:color="auto" w:fill="auto"/>
            <w:noWrap/>
            <w:vAlign w:val="bottom"/>
            <w:hideMark/>
          </w:tcPr>
          <w:p w14:paraId="4E727268" w14:textId="77777777" w:rsidR="002C61EA" w:rsidRPr="002C61EA" w:rsidRDefault="002C61EA" w:rsidP="002C61EA">
            <w:pPr>
              <w:ind w:firstLineChars="100" w:firstLine="160"/>
              <w:jc w:val="right"/>
              <w:rPr>
                <w:rFonts w:ascii="Arial" w:eastAsia="Times New Roman" w:hAnsi="Arial" w:cs="Arial"/>
                <w:sz w:val="16"/>
                <w:szCs w:val="16"/>
              </w:rPr>
            </w:pPr>
            <w:r w:rsidRPr="002C61EA">
              <w:rPr>
                <w:rFonts w:ascii="Arial" w:eastAsia="Times New Roman" w:hAnsi="Arial" w:cs="Arial"/>
                <w:sz w:val="16"/>
                <w:szCs w:val="16"/>
              </w:rPr>
              <w:t>4.63%</w:t>
            </w:r>
          </w:p>
        </w:tc>
      </w:tr>
      <w:tr w:rsidR="002C61EA" w:rsidRPr="002C61EA" w14:paraId="4D7B5A4C" w14:textId="77777777" w:rsidTr="006507A9">
        <w:trPr>
          <w:trHeight w:val="255"/>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51B911C5" w14:textId="77777777" w:rsidR="002C61EA" w:rsidRPr="002C61EA" w:rsidRDefault="002C61EA" w:rsidP="002C61EA">
            <w:pPr>
              <w:rPr>
                <w:rFonts w:ascii="Calibri" w:eastAsia="Times New Roman" w:hAnsi="Calibri" w:cs="Calibri"/>
                <w:sz w:val="20"/>
                <w:szCs w:val="20"/>
              </w:rPr>
            </w:pPr>
            <w:r w:rsidRPr="002C61EA">
              <w:rPr>
                <w:rFonts w:ascii="Calibri" w:eastAsia="Times New Roman" w:hAnsi="Calibri" w:cs="Calibri"/>
                <w:sz w:val="20"/>
                <w:szCs w:val="20"/>
              </w:rPr>
              <w:t>Max</w:t>
            </w:r>
          </w:p>
        </w:tc>
        <w:tc>
          <w:tcPr>
            <w:tcW w:w="854" w:type="dxa"/>
            <w:tcBorders>
              <w:top w:val="nil"/>
              <w:left w:val="nil"/>
              <w:bottom w:val="single" w:sz="4" w:space="0" w:color="auto"/>
              <w:right w:val="single" w:sz="4" w:space="0" w:color="auto"/>
            </w:tcBorders>
            <w:shd w:val="clear" w:color="auto" w:fill="auto"/>
            <w:noWrap/>
            <w:vAlign w:val="bottom"/>
            <w:hideMark/>
          </w:tcPr>
          <w:p w14:paraId="43EB8463" w14:textId="77777777" w:rsidR="002C61EA" w:rsidRPr="002C61EA" w:rsidRDefault="002C61EA" w:rsidP="002C61EA">
            <w:pPr>
              <w:ind w:firstLineChars="100" w:firstLine="200"/>
              <w:jc w:val="right"/>
              <w:rPr>
                <w:rFonts w:ascii="Calibri" w:eastAsia="Times New Roman" w:hAnsi="Calibri" w:cs="Calibri"/>
                <w:sz w:val="20"/>
                <w:szCs w:val="20"/>
              </w:rPr>
            </w:pPr>
            <w:r w:rsidRPr="002C61EA">
              <w:rPr>
                <w:rFonts w:ascii="Calibri" w:eastAsia="Times New Roman" w:hAnsi="Calibri" w:cs="Calibri"/>
                <w:sz w:val="20"/>
                <w:szCs w:val="20"/>
              </w:rPr>
              <w:t>$64.25</w:t>
            </w:r>
          </w:p>
        </w:tc>
        <w:tc>
          <w:tcPr>
            <w:tcW w:w="1000" w:type="dxa"/>
            <w:tcBorders>
              <w:top w:val="nil"/>
              <w:left w:val="nil"/>
              <w:bottom w:val="single" w:sz="4" w:space="0" w:color="auto"/>
              <w:right w:val="single" w:sz="4" w:space="0" w:color="auto"/>
            </w:tcBorders>
            <w:shd w:val="clear" w:color="auto" w:fill="auto"/>
            <w:noWrap/>
            <w:vAlign w:val="bottom"/>
            <w:hideMark/>
          </w:tcPr>
          <w:p w14:paraId="3D42B14B" w14:textId="77777777" w:rsidR="002C61EA" w:rsidRPr="002C61EA" w:rsidRDefault="002C61EA" w:rsidP="002C61EA">
            <w:pPr>
              <w:ind w:firstLineChars="100" w:firstLine="160"/>
              <w:jc w:val="right"/>
              <w:rPr>
                <w:rFonts w:ascii="Arial" w:eastAsia="Times New Roman" w:hAnsi="Arial" w:cs="Arial"/>
                <w:sz w:val="16"/>
                <w:szCs w:val="16"/>
              </w:rPr>
            </w:pPr>
            <w:r w:rsidRPr="002C61EA">
              <w:rPr>
                <w:rFonts w:ascii="Arial" w:eastAsia="Times New Roman" w:hAnsi="Arial" w:cs="Arial"/>
                <w:sz w:val="16"/>
                <w:szCs w:val="16"/>
              </w:rPr>
              <w:t>$1,679</w:t>
            </w:r>
          </w:p>
        </w:tc>
        <w:tc>
          <w:tcPr>
            <w:tcW w:w="999" w:type="dxa"/>
            <w:tcBorders>
              <w:top w:val="nil"/>
              <w:left w:val="nil"/>
              <w:bottom w:val="single" w:sz="4" w:space="0" w:color="auto"/>
              <w:right w:val="single" w:sz="4" w:space="0" w:color="auto"/>
            </w:tcBorders>
            <w:shd w:val="clear" w:color="auto" w:fill="auto"/>
            <w:noWrap/>
            <w:vAlign w:val="bottom"/>
            <w:hideMark/>
          </w:tcPr>
          <w:p w14:paraId="4298503B" w14:textId="77777777" w:rsidR="002C61EA" w:rsidRPr="002C61EA" w:rsidRDefault="002C61EA" w:rsidP="002C61EA">
            <w:pPr>
              <w:ind w:firstLineChars="100" w:firstLine="160"/>
              <w:jc w:val="right"/>
              <w:rPr>
                <w:rFonts w:ascii="Arial" w:eastAsia="Times New Roman" w:hAnsi="Arial" w:cs="Arial"/>
                <w:sz w:val="16"/>
                <w:szCs w:val="16"/>
              </w:rPr>
            </w:pPr>
            <w:r w:rsidRPr="002C61EA">
              <w:rPr>
                <w:rFonts w:ascii="Arial" w:eastAsia="Times New Roman" w:hAnsi="Arial" w:cs="Arial"/>
                <w:sz w:val="16"/>
                <w:szCs w:val="16"/>
              </w:rPr>
              <w:t>8.83%</w:t>
            </w:r>
          </w:p>
        </w:tc>
        <w:tc>
          <w:tcPr>
            <w:tcW w:w="960" w:type="dxa"/>
            <w:tcBorders>
              <w:top w:val="nil"/>
              <w:left w:val="nil"/>
              <w:bottom w:val="single" w:sz="4" w:space="0" w:color="auto"/>
              <w:right w:val="single" w:sz="4" w:space="0" w:color="auto"/>
            </w:tcBorders>
            <w:shd w:val="clear" w:color="auto" w:fill="auto"/>
            <w:noWrap/>
            <w:vAlign w:val="bottom"/>
            <w:hideMark/>
          </w:tcPr>
          <w:p w14:paraId="684AB3EF" w14:textId="77777777" w:rsidR="002C61EA" w:rsidRPr="002C61EA" w:rsidRDefault="002C61EA" w:rsidP="002C61EA">
            <w:pPr>
              <w:ind w:firstLineChars="100" w:firstLine="160"/>
              <w:jc w:val="right"/>
              <w:rPr>
                <w:rFonts w:ascii="Arial" w:eastAsia="Times New Roman" w:hAnsi="Arial" w:cs="Arial"/>
                <w:sz w:val="16"/>
                <w:szCs w:val="16"/>
              </w:rPr>
            </w:pPr>
            <w:r w:rsidRPr="002C61EA">
              <w:rPr>
                <w:rFonts w:ascii="Arial" w:eastAsia="Times New Roman" w:hAnsi="Arial" w:cs="Arial"/>
                <w:sz w:val="16"/>
                <w:szCs w:val="16"/>
              </w:rPr>
              <w:t>8.49%</w:t>
            </w:r>
          </w:p>
        </w:tc>
        <w:tc>
          <w:tcPr>
            <w:tcW w:w="960" w:type="dxa"/>
            <w:tcBorders>
              <w:top w:val="nil"/>
              <w:left w:val="nil"/>
              <w:bottom w:val="single" w:sz="4" w:space="0" w:color="auto"/>
              <w:right w:val="single" w:sz="4" w:space="0" w:color="auto"/>
            </w:tcBorders>
            <w:shd w:val="clear" w:color="auto" w:fill="auto"/>
            <w:noWrap/>
            <w:vAlign w:val="bottom"/>
            <w:hideMark/>
          </w:tcPr>
          <w:p w14:paraId="14E5C320" w14:textId="77777777" w:rsidR="002C61EA" w:rsidRPr="002C61EA" w:rsidRDefault="002C61EA" w:rsidP="002C61EA">
            <w:pPr>
              <w:ind w:firstLineChars="100" w:firstLine="160"/>
              <w:jc w:val="right"/>
              <w:rPr>
                <w:rFonts w:ascii="Arial" w:eastAsia="Times New Roman" w:hAnsi="Arial" w:cs="Arial"/>
                <w:sz w:val="16"/>
                <w:szCs w:val="16"/>
              </w:rPr>
            </w:pPr>
            <w:r w:rsidRPr="002C61EA">
              <w:rPr>
                <w:rFonts w:ascii="Arial" w:eastAsia="Times New Roman" w:hAnsi="Arial" w:cs="Arial"/>
                <w:sz w:val="16"/>
                <w:szCs w:val="16"/>
              </w:rPr>
              <w:t>8.92%</w:t>
            </w:r>
          </w:p>
        </w:tc>
      </w:tr>
      <w:tr w:rsidR="002C61EA" w:rsidRPr="002C61EA" w14:paraId="670E173B" w14:textId="77777777" w:rsidTr="006507A9">
        <w:trPr>
          <w:trHeight w:val="255"/>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1043EDE1" w14:textId="77777777" w:rsidR="002C61EA" w:rsidRPr="002C61EA" w:rsidRDefault="002C61EA" w:rsidP="002C61EA">
            <w:pPr>
              <w:rPr>
                <w:rFonts w:ascii="Calibri" w:eastAsia="Times New Roman" w:hAnsi="Calibri" w:cs="Calibri"/>
                <w:sz w:val="20"/>
                <w:szCs w:val="20"/>
              </w:rPr>
            </w:pPr>
            <w:r w:rsidRPr="002C61EA">
              <w:rPr>
                <w:rFonts w:ascii="Calibri" w:eastAsia="Times New Roman" w:hAnsi="Calibri" w:cs="Calibri"/>
                <w:sz w:val="20"/>
                <w:szCs w:val="20"/>
              </w:rPr>
              <w:t>Min</w:t>
            </w:r>
          </w:p>
        </w:tc>
        <w:tc>
          <w:tcPr>
            <w:tcW w:w="854" w:type="dxa"/>
            <w:tcBorders>
              <w:top w:val="nil"/>
              <w:left w:val="nil"/>
              <w:bottom w:val="single" w:sz="4" w:space="0" w:color="auto"/>
              <w:right w:val="single" w:sz="4" w:space="0" w:color="auto"/>
            </w:tcBorders>
            <w:shd w:val="clear" w:color="auto" w:fill="auto"/>
            <w:noWrap/>
            <w:vAlign w:val="bottom"/>
            <w:hideMark/>
          </w:tcPr>
          <w:p w14:paraId="1909832B" w14:textId="77777777" w:rsidR="002C61EA" w:rsidRPr="002C61EA" w:rsidRDefault="002C61EA" w:rsidP="002C61EA">
            <w:pPr>
              <w:ind w:firstLineChars="100" w:firstLine="200"/>
              <w:jc w:val="right"/>
              <w:rPr>
                <w:rFonts w:ascii="Calibri" w:eastAsia="Times New Roman" w:hAnsi="Calibri" w:cs="Calibri"/>
                <w:sz w:val="20"/>
                <w:szCs w:val="20"/>
              </w:rPr>
            </w:pPr>
            <w:r w:rsidRPr="002C61EA">
              <w:rPr>
                <w:rFonts w:ascii="Calibri" w:eastAsia="Times New Roman" w:hAnsi="Calibri" w:cs="Calibri"/>
                <w:sz w:val="20"/>
                <w:szCs w:val="20"/>
              </w:rPr>
              <w:t>$20.83</w:t>
            </w:r>
          </w:p>
        </w:tc>
        <w:tc>
          <w:tcPr>
            <w:tcW w:w="1000" w:type="dxa"/>
            <w:tcBorders>
              <w:top w:val="nil"/>
              <w:left w:val="nil"/>
              <w:bottom w:val="single" w:sz="4" w:space="0" w:color="auto"/>
              <w:right w:val="single" w:sz="4" w:space="0" w:color="auto"/>
            </w:tcBorders>
            <w:shd w:val="clear" w:color="auto" w:fill="auto"/>
            <w:noWrap/>
            <w:vAlign w:val="bottom"/>
            <w:hideMark/>
          </w:tcPr>
          <w:p w14:paraId="1CF9C577" w14:textId="77777777" w:rsidR="002C61EA" w:rsidRPr="002C61EA" w:rsidRDefault="002C61EA" w:rsidP="002C61EA">
            <w:pPr>
              <w:ind w:firstLineChars="100" w:firstLine="160"/>
              <w:jc w:val="right"/>
              <w:rPr>
                <w:rFonts w:ascii="Arial" w:eastAsia="Times New Roman" w:hAnsi="Arial" w:cs="Arial"/>
                <w:sz w:val="16"/>
                <w:szCs w:val="16"/>
              </w:rPr>
            </w:pPr>
            <w:r w:rsidRPr="002C61EA">
              <w:rPr>
                <w:rFonts w:ascii="Arial" w:eastAsia="Times New Roman" w:hAnsi="Arial" w:cs="Arial"/>
                <w:sz w:val="16"/>
                <w:szCs w:val="16"/>
              </w:rPr>
              <w:t>$540</w:t>
            </w:r>
          </w:p>
        </w:tc>
        <w:tc>
          <w:tcPr>
            <w:tcW w:w="999" w:type="dxa"/>
            <w:tcBorders>
              <w:top w:val="nil"/>
              <w:left w:val="nil"/>
              <w:bottom w:val="single" w:sz="4" w:space="0" w:color="auto"/>
              <w:right w:val="single" w:sz="4" w:space="0" w:color="auto"/>
            </w:tcBorders>
            <w:shd w:val="clear" w:color="auto" w:fill="auto"/>
            <w:noWrap/>
            <w:vAlign w:val="bottom"/>
            <w:hideMark/>
          </w:tcPr>
          <w:p w14:paraId="35192C97" w14:textId="77777777" w:rsidR="002C61EA" w:rsidRPr="002C61EA" w:rsidRDefault="002C61EA" w:rsidP="002C61EA">
            <w:pPr>
              <w:ind w:firstLineChars="100" w:firstLine="160"/>
              <w:jc w:val="right"/>
              <w:rPr>
                <w:rFonts w:ascii="Arial" w:eastAsia="Times New Roman" w:hAnsi="Arial" w:cs="Arial"/>
                <w:sz w:val="16"/>
                <w:szCs w:val="16"/>
              </w:rPr>
            </w:pPr>
            <w:r w:rsidRPr="002C61EA">
              <w:rPr>
                <w:rFonts w:ascii="Arial" w:eastAsia="Times New Roman" w:hAnsi="Arial" w:cs="Arial"/>
                <w:sz w:val="16"/>
                <w:szCs w:val="16"/>
              </w:rPr>
              <w:t>1.97%</w:t>
            </w:r>
          </w:p>
        </w:tc>
        <w:tc>
          <w:tcPr>
            <w:tcW w:w="960" w:type="dxa"/>
            <w:tcBorders>
              <w:top w:val="nil"/>
              <w:left w:val="nil"/>
              <w:bottom w:val="single" w:sz="4" w:space="0" w:color="auto"/>
              <w:right w:val="single" w:sz="4" w:space="0" w:color="auto"/>
            </w:tcBorders>
            <w:shd w:val="clear" w:color="auto" w:fill="auto"/>
            <w:noWrap/>
            <w:vAlign w:val="bottom"/>
            <w:hideMark/>
          </w:tcPr>
          <w:p w14:paraId="21D065D6" w14:textId="77777777" w:rsidR="002C61EA" w:rsidRPr="002C61EA" w:rsidRDefault="002C61EA" w:rsidP="002C61EA">
            <w:pPr>
              <w:ind w:firstLineChars="100" w:firstLine="160"/>
              <w:jc w:val="right"/>
              <w:rPr>
                <w:rFonts w:ascii="Arial" w:eastAsia="Times New Roman" w:hAnsi="Arial" w:cs="Arial"/>
                <w:sz w:val="16"/>
                <w:szCs w:val="16"/>
              </w:rPr>
            </w:pPr>
            <w:r w:rsidRPr="002C61EA">
              <w:rPr>
                <w:rFonts w:ascii="Arial" w:eastAsia="Times New Roman" w:hAnsi="Arial" w:cs="Arial"/>
                <w:sz w:val="16"/>
                <w:szCs w:val="16"/>
              </w:rPr>
              <w:t>0.34%</w:t>
            </w:r>
          </w:p>
        </w:tc>
        <w:tc>
          <w:tcPr>
            <w:tcW w:w="960" w:type="dxa"/>
            <w:tcBorders>
              <w:top w:val="nil"/>
              <w:left w:val="nil"/>
              <w:bottom w:val="single" w:sz="4" w:space="0" w:color="auto"/>
              <w:right w:val="single" w:sz="4" w:space="0" w:color="auto"/>
            </w:tcBorders>
            <w:shd w:val="clear" w:color="auto" w:fill="auto"/>
            <w:noWrap/>
            <w:vAlign w:val="bottom"/>
            <w:hideMark/>
          </w:tcPr>
          <w:p w14:paraId="52DF996F" w14:textId="77777777" w:rsidR="002C61EA" w:rsidRPr="002C61EA" w:rsidRDefault="002C61EA" w:rsidP="002C61EA">
            <w:pPr>
              <w:ind w:firstLineChars="100" w:firstLine="160"/>
              <w:jc w:val="right"/>
              <w:rPr>
                <w:rFonts w:ascii="Arial" w:eastAsia="Times New Roman" w:hAnsi="Arial" w:cs="Arial"/>
                <w:sz w:val="16"/>
                <w:szCs w:val="16"/>
              </w:rPr>
            </w:pPr>
            <w:r w:rsidRPr="002C61EA">
              <w:rPr>
                <w:rFonts w:ascii="Arial" w:eastAsia="Times New Roman" w:hAnsi="Arial" w:cs="Arial"/>
                <w:sz w:val="16"/>
                <w:szCs w:val="16"/>
              </w:rPr>
              <w:t>0.73%</w:t>
            </w:r>
          </w:p>
        </w:tc>
      </w:tr>
      <w:tr w:rsidR="002C61EA" w:rsidRPr="002C61EA" w14:paraId="2EDC5CE0" w14:textId="77777777" w:rsidTr="006507A9">
        <w:trPr>
          <w:trHeight w:val="255"/>
        </w:trPr>
        <w:tc>
          <w:tcPr>
            <w:tcW w:w="4738" w:type="dxa"/>
            <w:gridSpan w:val="4"/>
            <w:tcBorders>
              <w:top w:val="nil"/>
              <w:left w:val="nil"/>
              <w:bottom w:val="nil"/>
              <w:right w:val="nil"/>
            </w:tcBorders>
            <w:shd w:val="clear" w:color="auto" w:fill="auto"/>
            <w:noWrap/>
            <w:vAlign w:val="bottom"/>
            <w:hideMark/>
          </w:tcPr>
          <w:p w14:paraId="229E1F75" w14:textId="77777777" w:rsidR="002C61EA" w:rsidRPr="002C61EA" w:rsidRDefault="002C61EA" w:rsidP="002C61EA">
            <w:pPr>
              <w:rPr>
                <w:rFonts w:ascii="Arial" w:eastAsia="Times New Roman" w:hAnsi="Arial" w:cs="Arial"/>
                <w:sz w:val="16"/>
                <w:szCs w:val="16"/>
              </w:rPr>
            </w:pPr>
            <w:r w:rsidRPr="002C61EA">
              <w:rPr>
                <w:rFonts w:ascii="Arial" w:eastAsia="Times New Roman" w:hAnsi="Arial" w:cs="Arial"/>
                <w:sz w:val="16"/>
                <w:szCs w:val="16"/>
              </w:rPr>
              <w:t>* In $ Millions, includes realized Capital Gains &amp; Losses</w:t>
            </w:r>
          </w:p>
        </w:tc>
        <w:tc>
          <w:tcPr>
            <w:tcW w:w="960" w:type="dxa"/>
            <w:tcBorders>
              <w:top w:val="nil"/>
              <w:left w:val="nil"/>
              <w:bottom w:val="nil"/>
              <w:right w:val="nil"/>
            </w:tcBorders>
            <w:shd w:val="clear" w:color="auto" w:fill="auto"/>
            <w:noWrap/>
            <w:vAlign w:val="bottom"/>
            <w:hideMark/>
          </w:tcPr>
          <w:p w14:paraId="272989FF" w14:textId="77777777" w:rsidR="002C61EA" w:rsidRPr="002C61EA" w:rsidRDefault="002C61EA" w:rsidP="002C61EA">
            <w:pPr>
              <w:rPr>
                <w:rFonts w:ascii="Arial" w:eastAsia="Times New Roman" w:hAnsi="Arial" w:cs="Arial"/>
                <w:sz w:val="16"/>
                <w:szCs w:val="16"/>
              </w:rPr>
            </w:pPr>
          </w:p>
        </w:tc>
        <w:tc>
          <w:tcPr>
            <w:tcW w:w="960" w:type="dxa"/>
            <w:tcBorders>
              <w:top w:val="nil"/>
              <w:left w:val="nil"/>
              <w:bottom w:val="nil"/>
              <w:right w:val="nil"/>
            </w:tcBorders>
            <w:shd w:val="clear" w:color="auto" w:fill="auto"/>
            <w:noWrap/>
            <w:vAlign w:val="bottom"/>
            <w:hideMark/>
          </w:tcPr>
          <w:p w14:paraId="7F9FC1D7" w14:textId="77777777" w:rsidR="002C61EA" w:rsidRPr="002C61EA" w:rsidRDefault="002C61EA" w:rsidP="002C61EA">
            <w:pPr>
              <w:rPr>
                <w:rFonts w:ascii="Times New Roman" w:eastAsia="Times New Roman" w:hAnsi="Times New Roman" w:cs="Times New Roman"/>
                <w:sz w:val="20"/>
                <w:szCs w:val="20"/>
              </w:rPr>
            </w:pPr>
          </w:p>
        </w:tc>
      </w:tr>
      <w:tr w:rsidR="002C61EA" w:rsidRPr="002C61EA" w14:paraId="1F521753" w14:textId="77777777" w:rsidTr="006507A9">
        <w:trPr>
          <w:trHeight w:val="255"/>
        </w:trPr>
        <w:tc>
          <w:tcPr>
            <w:tcW w:w="1885" w:type="dxa"/>
            <w:tcBorders>
              <w:top w:val="nil"/>
              <w:left w:val="nil"/>
              <w:bottom w:val="nil"/>
              <w:right w:val="nil"/>
            </w:tcBorders>
            <w:shd w:val="clear" w:color="auto" w:fill="auto"/>
            <w:noWrap/>
            <w:vAlign w:val="bottom"/>
            <w:hideMark/>
          </w:tcPr>
          <w:p w14:paraId="56E3DC4F" w14:textId="77777777" w:rsidR="002C61EA" w:rsidRPr="002C61EA" w:rsidRDefault="002C61EA" w:rsidP="002C61EA">
            <w:pPr>
              <w:rPr>
                <w:rFonts w:ascii="Arial" w:eastAsia="Times New Roman" w:hAnsi="Arial" w:cs="Arial"/>
                <w:sz w:val="16"/>
                <w:szCs w:val="16"/>
              </w:rPr>
            </w:pPr>
            <w:r w:rsidRPr="002C61EA">
              <w:rPr>
                <w:rFonts w:ascii="Arial" w:eastAsia="Times New Roman" w:hAnsi="Arial" w:cs="Arial"/>
                <w:sz w:val="16"/>
                <w:szCs w:val="16"/>
              </w:rPr>
              <w:t>** In $ Millions</w:t>
            </w:r>
          </w:p>
        </w:tc>
        <w:tc>
          <w:tcPr>
            <w:tcW w:w="854" w:type="dxa"/>
            <w:tcBorders>
              <w:top w:val="nil"/>
              <w:left w:val="nil"/>
              <w:bottom w:val="nil"/>
              <w:right w:val="nil"/>
            </w:tcBorders>
            <w:shd w:val="clear" w:color="auto" w:fill="auto"/>
            <w:noWrap/>
            <w:vAlign w:val="bottom"/>
            <w:hideMark/>
          </w:tcPr>
          <w:p w14:paraId="7E87A1DB" w14:textId="77777777" w:rsidR="002C61EA" w:rsidRPr="002C61EA" w:rsidRDefault="002C61EA" w:rsidP="002C61EA">
            <w:pPr>
              <w:rPr>
                <w:rFonts w:ascii="Arial" w:eastAsia="Times New Roman" w:hAnsi="Arial" w:cs="Arial"/>
                <w:sz w:val="16"/>
                <w:szCs w:val="16"/>
              </w:rPr>
            </w:pPr>
          </w:p>
        </w:tc>
        <w:tc>
          <w:tcPr>
            <w:tcW w:w="1000" w:type="dxa"/>
            <w:tcBorders>
              <w:top w:val="nil"/>
              <w:left w:val="nil"/>
              <w:bottom w:val="nil"/>
              <w:right w:val="nil"/>
            </w:tcBorders>
            <w:shd w:val="clear" w:color="auto" w:fill="auto"/>
            <w:noWrap/>
            <w:vAlign w:val="bottom"/>
            <w:hideMark/>
          </w:tcPr>
          <w:p w14:paraId="345942A0" w14:textId="77777777" w:rsidR="002C61EA" w:rsidRPr="002C61EA" w:rsidRDefault="002C61EA" w:rsidP="002C61EA">
            <w:pPr>
              <w:rPr>
                <w:rFonts w:ascii="Times New Roman" w:eastAsia="Times New Roman" w:hAnsi="Times New Roman" w:cs="Times New Roman"/>
                <w:sz w:val="20"/>
                <w:szCs w:val="20"/>
              </w:rPr>
            </w:pPr>
          </w:p>
        </w:tc>
        <w:tc>
          <w:tcPr>
            <w:tcW w:w="999" w:type="dxa"/>
            <w:tcBorders>
              <w:top w:val="nil"/>
              <w:left w:val="nil"/>
              <w:bottom w:val="nil"/>
              <w:right w:val="nil"/>
            </w:tcBorders>
            <w:shd w:val="clear" w:color="auto" w:fill="auto"/>
            <w:noWrap/>
            <w:vAlign w:val="bottom"/>
            <w:hideMark/>
          </w:tcPr>
          <w:p w14:paraId="5F5DB589" w14:textId="77777777" w:rsidR="002C61EA" w:rsidRPr="002C61EA" w:rsidRDefault="002C61EA" w:rsidP="002C61EA">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90A3890" w14:textId="77777777" w:rsidR="002C61EA" w:rsidRPr="002C61EA" w:rsidRDefault="002C61EA" w:rsidP="002C61EA">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828C674" w14:textId="77777777" w:rsidR="002C61EA" w:rsidRPr="002C61EA" w:rsidRDefault="002C61EA" w:rsidP="002C61EA">
            <w:pPr>
              <w:rPr>
                <w:rFonts w:ascii="Times New Roman" w:eastAsia="Times New Roman" w:hAnsi="Times New Roman" w:cs="Times New Roman"/>
                <w:sz w:val="20"/>
                <w:szCs w:val="20"/>
              </w:rPr>
            </w:pPr>
          </w:p>
        </w:tc>
      </w:tr>
    </w:tbl>
    <w:p w14:paraId="63EDA3CA" w14:textId="77777777" w:rsidR="002C61EA" w:rsidRPr="006739E3" w:rsidRDefault="002C61EA" w:rsidP="00D67EEB">
      <w:pPr>
        <w:rPr>
          <w:b/>
          <w:sz w:val="24"/>
          <w:szCs w:val="24"/>
        </w:rPr>
      </w:pPr>
    </w:p>
    <w:p w14:paraId="4D50CE83" w14:textId="77777777" w:rsidR="006739E3" w:rsidRDefault="006739E3" w:rsidP="006739E3">
      <w:pPr>
        <w:rPr>
          <w:rFonts w:ascii="Calibri" w:eastAsia="Times New Roman" w:hAnsi="Calibri" w:cs="Calibri"/>
          <w:b/>
          <w:sz w:val="32"/>
          <w:szCs w:val="32"/>
        </w:rPr>
      </w:pPr>
    </w:p>
    <w:p w14:paraId="1E435B5D" w14:textId="77777777" w:rsidR="006739E3" w:rsidRDefault="006739E3" w:rsidP="006739E3">
      <w:pPr>
        <w:rPr>
          <w:rFonts w:ascii="Calibri" w:eastAsia="Times New Roman" w:hAnsi="Calibri" w:cs="Calibri"/>
          <w:b/>
          <w:sz w:val="32"/>
          <w:szCs w:val="32"/>
        </w:rPr>
      </w:pPr>
    </w:p>
    <w:p w14:paraId="2C15F30C" w14:textId="77777777" w:rsidR="006739E3" w:rsidRDefault="006739E3">
      <w:pPr>
        <w:rPr>
          <w:rFonts w:ascii="Calibri" w:eastAsia="Times New Roman" w:hAnsi="Calibri" w:cs="Calibri"/>
          <w:b/>
          <w:sz w:val="32"/>
          <w:szCs w:val="32"/>
        </w:rPr>
      </w:pPr>
      <w:r>
        <w:rPr>
          <w:rFonts w:ascii="Calibri" w:eastAsia="Times New Roman" w:hAnsi="Calibri" w:cs="Calibri"/>
          <w:b/>
          <w:sz w:val="32"/>
          <w:szCs w:val="32"/>
        </w:rPr>
        <w:br w:type="page"/>
      </w:r>
    </w:p>
    <w:p w14:paraId="28E732CC" w14:textId="1C84C212" w:rsidR="00901209" w:rsidRPr="00901209" w:rsidRDefault="00901209" w:rsidP="006739E3">
      <w:pPr>
        <w:rPr>
          <w:rFonts w:ascii="Calibri" w:eastAsia="Times New Roman" w:hAnsi="Calibri" w:cs="Calibri"/>
          <w:b/>
          <w:sz w:val="32"/>
          <w:szCs w:val="32"/>
        </w:rPr>
      </w:pPr>
      <w:r w:rsidRPr="00901209">
        <w:rPr>
          <w:rFonts w:ascii="Calibri" w:eastAsia="Times New Roman" w:hAnsi="Calibri" w:cs="Calibri"/>
          <w:b/>
          <w:sz w:val="32"/>
          <w:szCs w:val="32"/>
        </w:rPr>
        <w:lastRenderedPageBreak/>
        <w:t>Kevin P. Reilly, Sr.</w:t>
      </w:r>
    </w:p>
    <w:p w14:paraId="48947C66" w14:textId="77777777" w:rsidR="00901209" w:rsidRPr="00901209" w:rsidRDefault="00901209" w:rsidP="00901209">
      <w:pPr>
        <w:jc w:val="both"/>
        <w:rPr>
          <w:rFonts w:ascii="Calibri" w:eastAsia="Times New Roman" w:hAnsi="Calibri" w:cs="Calibri"/>
          <w:b/>
          <w:sz w:val="32"/>
          <w:szCs w:val="32"/>
        </w:rPr>
      </w:pPr>
      <w:r w:rsidRPr="00901209">
        <w:rPr>
          <w:rFonts w:ascii="Calibri" w:eastAsia="Times New Roman" w:hAnsi="Calibri" w:cs="Calibri"/>
          <w:b/>
          <w:sz w:val="32"/>
          <w:szCs w:val="32"/>
        </w:rPr>
        <w:t>Louisiana Education Quality Trust Fund</w:t>
      </w:r>
    </w:p>
    <w:p w14:paraId="0375348E" w14:textId="77777777" w:rsidR="00901209" w:rsidRPr="00901209" w:rsidRDefault="00901209" w:rsidP="00901209">
      <w:pPr>
        <w:jc w:val="both"/>
        <w:rPr>
          <w:rFonts w:ascii="Calibri" w:eastAsia="Times New Roman" w:hAnsi="Calibri" w:cs="Calibri"/>
          <w:b/>
          <w:sz w:val="32"/>
          <w:szCs w:val="32"/>
        </w:rPr>
      </w:pPr>
      <w:r w:rsidRPr="00901209">
        <w:rPr>
          <w:rFonts w:ascii="Calibri" w:eastAsia="Times New Roman" w:hAnsi="Calibri" w:cs="Calibri"/>
          <w:b/>
          <w:sz w:val="32"/>
          <w:szCs w:val="32"/>
        </w:rPr>
        <w:t>Louisiana Board of Elementary and Secondary Education FY 2022-2023</w:t>
      </w:r>
    </w:p>
    <w:p w14:paraId="426DDF23" w14:textId="77777777" w:rsidR="00901209" w:rsidRPr="00901209" w:rsidRDefault="00901209" w:rsidP="00901209">
      <w:pPr>
        <w:jc w:val="both"/>
        <w:rPr>
          <w:rFonts w:ascii="Calibri" w:eastAsia="Times New Roman" w:hAnsi="Calibri" w:cs="Calibri"/>
        </w:rPr>
      </w:pPr>
    </w:p>
    <w:p w14:paraId="0C161A5C" w14:textId="77777777" w:rsidR="00901209" w:rsidRPr="00901209" w:rsidRDefault="00901209" w:rsidP="00901209">
      <w:pPr>
        <w:jc w:val="both"/>
        <w:rPr>
          <w:rFonts w:ascii="Calibri" w:eastAsia="Times New Roman" w:hAnsi="Calibri" w:cs="Calibri"/>
          <w:b/>
          <w:u w:val="single"/>
        </w:rPr>
      </w:pPr>
      <w:r w:rsidRPr="00901209">
        <w:rPr>
          <w:rFonts w:ascii="Calibri" w:eastAsia="Times New Roman" w:hAnsi="Calibri" w:cs="Calibri"/>
          <w:b/>
          <w:u w:val="single"/>
        </w:rPr>
        <w:t>Program Funding</w:t>
      </w:r>
    </w:p>
    <w:p w14:paraId="46FDEA54" w14:textId="77777777" w:rsidR="00901209" w:rsidRPr="00901209" w:rsidRDefault="00901209" w:rsidP="00901209">
      <w:pPr>
        <w:jc w:val="both"/>
        <w:rPr>
          <w:rFonts w:ascii="Calibri" w:eastAsia="Times New Roman" w:hAnsi="Calibri" w:cs="Calibri"/>
        </w:rPr>
      </w:pPr>
    </w:p>
    <w:p w14:paraId="1613671E" w14:textId="4B4A0593" w:rsidR="00901209" w:rsidRPr="00901209" w:rsidRDefault="00901209" w:rsidP="00901209">
      <w:pPr>
        <w:jc w:val="both"/>
        <w:rPr>
          <w:rFonts w:ascii="Calibri" w:eastAsia="Times New Roman" w:hAnsi="Calibri" w:cs="Calibri"/>
        </w:rPr>
      </w:pPr>
      <w:r w:rsidRPr="00901209">
        <w:rPr>
          <w:rFonts w:ascii="Calibri" w:eastAsia="Times New Roman" w:hAnsi="Calibri" w:cs="Calibri"/>
        </w:rPr>
        <w:t xml:space="preserve">BESE allocates earnings from the Kevin P. Reilly, Sr. Louisiana Education Quality Trust Fund - 8(g) on an annual basis for the enhancement of elementary and secondary education. The annual program and budget for the allocation of 8(g) funds are developed in compliance with activities delineated in </w:t>
      </w:r>
      <w:bookmarkStart w:id="1" w:name="_Toc343673207"/>
      <w:bookmarkStart w:id="2" w:name="_Toc22824975"/>
      <w:r w:rsidRPr="00901209">
        <w:rPr>
          <w:rFonts w:ascii="Calibri" w:eastAsia="Times New Roman" w:hAnsi="Calibri" w:cs="Calibri"/>
        </w:rPr>
        <w:t xml:space="preserve">LAC 28: I, </w:t>
      </w:r>
      <w:commentRangeStart w:id="3"/>
      <w:r w:rsidRPr="00901209">
        <w:rPr>
          <w:rFonts w:ascii="Calibri" w:eastAsia="Times New Roman" w:hAnsi="Calibri" w:cs="Calibri"/>
        </w:rPr>
        <w:t xml:space="preserve">Subpart 3.  </w:t>
      </w:r>
      <w:bookmarkEnd w:id="1"/>
      <w:r w:rsidRPr="00901209">
        <w:rPr>
          <w:rFonts w:ascii="Calibri" w:eastAsia="Times New Roman" w:hAnsi="Calibri" w:cs="Calibri"/>
        </w:rPr>
        <w:t xml:space="preserve">Louisiana </w:t>
      </w:r>
      <w:commentRangeEnd w:id="3"/>
      <w:r w:rsidR="004C1F3A">
        <w:rPr>
          <w:rStyle w:val="CommentReference"/>
        </w:rPr>
        <w:commentReference w:id="3"/>
      </w:r>
      <w:r w:rsidRPr="00901209">
        <w:rPr>
          <w:rFonts w:ascii="Calibri" w:eastAsia="Times New Roman" w:hAnsi="Calibri" w:cs="Calibri"/>
        </w:rPr>
        <w:t xml:space="preserve">Quality Education Support Fund—8(g) </w:t>
      </w:r>
      <w:proofErr w:type="gramStart"/>
      <w:r w:rsidRPr="00901209">
        <w:rPr>
          <w:rFonts w:ascii="Calibri" w:eastAsia="Times New Roman" w:hAnsi="Calibri" w:cs="Calibri"/>
        </w:rPr>
        <w:t>Program</w:t>
      </w:r>
      <w:bookmarkEnd w:id="2"/>
      <w:r w:rsidRPr="00901209">
        <w:rPr>
          <w:rFonts w:ascii="Calibri" w:eastAsia="Times New Roman" w:hAnsi="Calibri" w:cs="Calibri"/>
        </w:rPr>
        <w:t>, and</w:t>
      </w:r>
      <w:proofErr w:type="gramEnd"/>
      <w:r w:rsidRPr="00901209">
        <w:rPr>
          <w:rFonts w:ascii="Calibri" w:eastAsia="Times New Roman" w:hAnsi="Calibri" w:cs="Calibri"/>
        </w:rPr>
        <w:t xml:space="preserve"> are aligned to the BESE Strategic Plan. Projects are selected, and the budget is formulated, based on conformity to the education purposes set forth in the </w:t>
      </w:r>
      <w:commentRangeStart w:id="4"/>
      <w:r w:rsidRPr="00901209">
        <w:rPr>
          <w:rFonts w:ascii="Calibri" w:eastAsia="Times New Roman" w:hAnsi="Calibri" w:cs="Calibri"/>
        </w:rPr>
        <w:t xml:space="preserve">Constitution.  BESE </w:t>
      </w:r>
      <w:commentRangeEnd w:id="4"/>
      <w:r w:rsidR="004C1F3A">
        <w:rPr>
          <w:rStyle w:val="CommentReference"/>
        </w:rPr>
        <w:commentReference w:id="4"/>
      </w:r>
      <w:r w:rsidRPr="00901209">
        <w:rPr>
          <w:rFonts w:ascii="Calibri" w:eastAsia="Times New Roman" w:hAnsi="Calibri" w:cs="Calibri"/>
        </w:rPr>
        <w:t>and the 8(g) staff operate within three fiscal years and oversee all activities for the 8(g) Student Enhancement Block Grant Program and the 8(g) Statewide Grant Program. B During the current year of project implementation, the BESE 8(g) office begins building the annual program and budget for the upcoming fiscal year and oversees the fiscal monitoring (audits) of projects implemented in the previous fiscal year. Administrative costs associated with managing the funds are limited to three percent of the average amount of actual expenditures for the three most recent prior fiscal years.</w:t>
      </w:r>
    </w:p>
    <w:p w14:paraId="0167B222" w14:textId="77777777" w:rsidR="00901209" w:rsidRPr="00901209" w:rsidRDefault="00901209" w:rsidP="00901209">
      <w:pPr>
        <w:jc w:val="both"/>
        <w:rPr>
          <w:rFonts w:ascii="Calibri" w:eastAsia="Times New Roman" w:hAnsi="Calibri" w:cs="Calibri"/>
        </w:rPr>
      </w:pPr>
    </w:p>
    <w:p w14:paraId="022979BA" w14:textId="71C4B490" w:rsidR="00901209" w:rsidRDefault="00901209" w:rsidP="00901209">
      <w:pPr>
        <w:jc w:val="both"/>
        <w:rPr>
          <w:rFonts w:ascii="Calibri" w:eastAsia="Times New Roman" w:hAnsi="Calibri" w:cs="Calibri"/>
        </w:rPr>
      </w:pPr>
      <w:r w:rsidRPr="00901209">
        <w:rPr>
          <w:rFonts w:ascii="Calibri" w:eastAsia="Times New Roman" w:hAnsi="Calibri" w:cs="Calibri"/>
        </w:rPr>
        <w:t xml:space="preserve">When building the 8(g) Annual Program and Budget, BESE follows a set process prior to each fiscal year, beginning with a public hearing, in </w:t>
      </w:r>
      <w:commentRangeStart w:id="5"/>
      <w:r w:rsidRPr="00901209">
        <w:rPr>
          <w:rFonts w:ascii="Calibri" w:eastAsia="Times New Roman" w:hAnsi="Calibri" w:cs="Calibri"/>
        </w:rPr>
        <w:t xml:space="preserve">which the </w:t>
      </w:r>
      <w:commentRangeEnd w:id="5"/>
      <w:r w:rsidR="004C1F3A">
        <w:rPr>
          <w:rStyle w:val="CommentReference"/>
        </w:rPr>
        <w:commentReference w:id="5"/>
      </w:r>
      <w:r w:rsidRPr="00901209">
        <w:rPr>
          <w:rFonts w:ascii="Calibri" w:eastAsia="Times New Roman" w:hAnsi="Calibri" w:cs="Calibri"/>
        </w:rPr>
        <w:t xml:space="preserve">Board receives input from the public-at-large regarding the expenditure of Support Fund proceeds for elementary and secondary education allocated by the </w:t>
      </w:r>
      <w:proofErr w:type="gramStart"/>
      <w:r w:rsidRPr="00901209">
        <w:rPr>
          <w:rFonts w:ascii="Calibri" w:eastAsia="Times New Roman" w:hAnsi="Calibri" w:cs="Calibri"/>
        </w:rPr>
        <w:t>Legislature .</w:t>
      </w:r>
      <w:proofErr w:type="gramEnd"/>
      <w:r w:rsidRPr="00901209">
        <w:rPr>
          <w:rFonts w:ascii="Calibri" w:eastAsia="Times New Roman" w:hAnsi="Calibri" w:cs="Calibri"/>
        </w:rPr>
        <w:t xml:space="preserve"> Next, the BESE President works with BESE staff reviews to determine priorities, as well as the percentage of the total funding to be used for each funding method (Block and Statewide) Also, BESE requests statewide project budget projections for review and analysis by Board staff and receives the 8(g) Annual Report of prior year projects, including evaluation results and expenditures, to determine cost effectiveness and project impact. The BESE President and staff </w:t>
      </w:r>
      <w:commentRangeStart w:id="6"/>
      <w:r w:rsidRPr="00901209">
        <w:rPr>
          <w:rFonts w:ascii="Calibri" w:eastAsia="Times New Roman" w:hAnsi="Calibri" w:cs="Calibri"/>
        </w:rPr>
        <w:t>presents</w:t>
      </w:r>
      <w:commentRangeEnd w:id="6"/>
      <w:r w:rsidR="004C1F3A">
        <w:rPr>
          <w:rStyle w:val="CommentReference"/>
        </w:rPr>
        <w:commentReference w:id="6"/>
      </w:r>
      <w:r w:rsidRPr="00901209">
        <w:rPr>
          <w:rFonts w:ascii="Calibri" w:eastAsia="Times New Roman" w:hAnsi="Calibri" w:cs="Calibri"/>
        </w:rPr>
        <w:t xml:space="preserve"> the recommendation to the full Board for approval no later than the annual BESE December </w:t>
      </w:r>
      <w:commentRangeStart w:id="7"/>
      <w:r w:rsidRPr="00901209">
        <w:rPr>
          <w:rFonts w:ascii="Calibri" w:eastAsia="Times New Roman" w:hAnsi="Calibri" w:cs="Calibri"/>
        </w:rPr>
        <w:t xml:space="preserve">meeting. </w:t>
      </w:r>
    </w:p>
    <w:p w14:paraId="21393E69" w14:textId="77777777" w:rsidR="00720970" w:rsidRPr="00901209" w:rsidRDefault="00720970" w:rsidP="00901209">
      <w:pPr>
        <w:jc w:val="both"/>
        <w:rPr>
          <w:rFonts w:ascii="Calibri" w:eastAsia="Times New Roman" w:hAnsi="Calibri" w:cs="Calibri"/>
        </w:rPr>
      </w:pPr>
    </w:p>
    <w:p w14:paraId="0C2F90F8" w14:textId="77777777" w:rsidR="00901209" w:rsidRPr="00901209" w:rsidRDefault="00901209" w:rsidP="00901209">
      <w:pPr>
        <w:jc w:val="both"/>
        <w:rPr>
          <w:rFonts w:ascii="Calibri" w:eastAsia="Times New Roman" w:hAnsi="Calibri" w:cs="Calibri"/>
        </w:rPr>
      </w:pPr>
      <w:r w:rsidRPr="00901209">
        <w:rPr>
          <w:rFonts w:ascii="Calibri" w:eastAsia="Times New Roman" w:hAnsi="Calibri" w:cs="Calibri"/>
        </w:rPr>
        <w:t>BESE</w:t>
      </w:r>
      <w:commentRangeEnd w:id="7"/>
      <w:r w:rsidR="004C1F3A">
        <w:rPr>
          <w:rStyle w:val="CommentReference"/>
        </w:rPr>
        <w:commentReference w:id="7"/>
      </w:r>
      <w:r w:rsidRPr="00901209">
        <w:rPr>
          <w:rFonts w:ascii="Calibri" w:eastAsia="Times New Roman" w:hAnsi="Calibri" w:cs="Calibri"/>
        </w:rPr>
        <w:t xml:space="preserve"> awards grants on an annual basis, using the Block and Statewide grants funding methods − and focuses its endowments on improving classroom teaching and learning. Local schools and school systems submit project proposals that are written according to published guidelines and funded through a review process. Through innovative programming, BESE strives to: </w:t>
      </w:r>
    </w:p>
    <w:p w14:paraId="17D92225" w14:textId="77777777" w:rsidR="00901209" w:rsidRPr="00901209" w:rsidRDefault="00901209" w:rsidP="00901209">
      <w:pPr>
        <w:jc w:val="both"/>
        <w:rPr>
          <w:rFonts w:ascii="Calibri" w:eastAsia="Times New Roman" w:hAnsi="Calibri" w:cs="Calibri"/>
        </w:rPr>
      </w:pPr>
    </w:p>
    <w:p w14:paraId="7FFF9870" w14:textId="77777777" w:rsidR="00901209" w:rsidRPr="00901209" w:rsidRDefault="00901209" w:rsidP="00901209">
      <w:pPr>
        <w:numPr>
          <w:ilvl w:val="0"/>
          <w:numId w:val="11"/>
        </w:numPr>
        <w:jc w:val="both"/>
        <w:rPr>
          <w:rFonts w:ascii="Calibri" w:eastAsia="Times New Roman" w:hAnsi="Calibri" w:cs="Calibri"/>
        </w:rPr>
      </w:pPr>
      <w:r w:rsidRPr="00901209">
        <w:rPr>
          <w:rFonts w:ascii="Calibri" w:eastAsia="Times New Roman" w:hAnsi="Calibri" w:cs="Calibri"/>
        </w:rPr>
        <w:t xml:space="preserve">build expectations of academic </w:t>
      </w:r>
      <w:proofErr w:type="gramStart"/>
      <w:r w:rsidRPr="00901209">
        <w:rPr>
          <w:rFonts w:ascii="Calibri" w:eastAsia="Times New Roman" w:hAnsi="Calibri" w:cs="Calibri"/>
        </w:rPr>
        <w:t>excellence;</w:t>
      </w:r>
      <w:proofErr w:type="gramEnd"/>
      <w:r w:rsidRPr="00901209">
        <w:rPr>
          <w:rFonts w:ascii="Calibri" w:eastAsia="Times New Roman" w:hAnsi="Calibri" w:cs="Calibri"/>
        </w:rPr>
        <w:t xml:space="preserve"> </w:t>
      </w:r>
    </w:p>
    <w:tbl>
      <w:tblPr>
        <w:tblpPr w:leftFromText="180" w:rightFromText="180" w:vertAnchor="text" w:horzAnchor="margin" w:tblpXSpec="right" w:tblpY="-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tblGrid>
      <w:tr w:rsidR="00901209" w:rsidRPr="00901209" w14:paraId="78BCDD6C" w14:textId="77777777" w:rsidTr="00337D59">
        <w:tc>
          <w:tcPr>
            <w:tcW w:w="3528" w:type="dxa"/>
            <w:shd w:val="clear" w:color="auto" w:fill="17365D"/>
          </w:tcPr>
          <w:p w14:paraId="0B87EDDD" w14:textId="77777777" w:rsidR="00901209" w:rsidRPr="00901209" w:rsidRDefault="00901209" w:rsidP="00901209">
            <w:pPr>
              <w:jc w:val="both"/>
              <w:rPr>
                <w:rFonts w:ascii="Agency FB" w:eastAsia="Times New Roman" w:hAnsi="Agency FB" w:cs="Calibri"/>
                <w:sz w:val="24"/>
                <w:szCs w:val="24"/>
              </w:rPr>
            </w:pPr>
            <w:r w:rsidRPr="00901209">
              <w:rPr>
                <w:rFonts w:ascii="Agency FB" w:eastAsia="Times New Roman" w:hAnsi="Agency FB" w:cs="Calibri"/>
                <w:sz w:val="24"/>
                <w:szCs w:val="24"/>
              </w:rPr>
              <w:t>BESE 8(g) 1986-2023 Funding Overview</w:t>
            </w:r>
          </w:p>
        </w:tc>
      </w:tr>
      <w:tr w:rsidR="00901209" w:rsidRPr="00901209" w14:paraId="20EF6552" w14:textId="77777777" w:rsidTr="00337D59">
        <w:tc>
          <w:tcPr>
            <w:tcW w:w="3528" w:type="dxa"/>
            <w:shd w:val="clear" w:color="auto" w:fill="auto"/>
          </w:tcPr>
          <w:p w14:paraId="00876389" w14:textId="77777777" w:rsidR="00901209" w:rsidRPr="00901209" w:rsidRDefault="00901209" w:rsidP="00901209">
            <w:pPr>
              <w:numPr>
                <w:ilvl w:val="0"/>
                <w:numId w:val="12"/>
              </w:numPr>
              <w:rPr>
                <w:rFonts w:ascii="Agency FB" w:eastAsia="Times New Roman" w:hAnsi="Agency FB" w:cs="Calibri"/>
                <w:sz w:val="20"/>
                <w:szCs w:val="20"/>
              </w:rPr>
            </w:pPr>
            <w:r w:rsidRPr="00901209">
              <w:rPr>
                <w:rFonts w:ascii="Agency FB" w:eastAsia="Times New Roman" w:hAnsi="Agency FB" w:cs="Calibri"/>
                <w:sz w:val="20"/>
                <w:szCs w:val="20"/>
              </w:rPr>
              <w:t>More than 9,680 projects since 1986</w:t>
            </w:r>
          </w:p>
          <w:p w14:paraId="65023670" w14:textId="77777777" w:rsidR="00901209" w:rsidRPr="00901209" w:rsidRDefault="00901209" w:rsidP="00901209">
            <w:pPr>
              <w:numPr>
                <w:ilvl w:val="0"/>
                <w:numId w:val="12"/>
              </w:numPr>
              <w:rPr>
                <w:rFonts w:ascii="Agency FB" w:eastAsia="Times New Roman" w:hAnsi="Agency FB" w:cs="Calibri"/>
                <w:sz w:val="20"/>
                <w:szCs w:val="20"/>
              </w:rPr>
            </w:pPr>
            <w:r w:rsidRPr="00901209">
              <w:rPr>
                <w:rFonts w:ascii="Agency FB" w:eastAsia="Times New Roman" w:hAnsi="Agency FB" w:cs="Calibri"/>
                <w:sz w:val="20"/>
                <w:szCs w:val="20"/>
              </w:rPr>
              <w:t>More than $1.39 billion allocated since 1986</w:t>
            </w:r>
          </w:p>
        </w:tc>
      </w:tr>
    </w:tbl>
    <w:p w14:paraId="1B0EB8AF" w14:textId="77777777" w:rsidR="00901209" w:rsidRPr="00901209" w:rsidRDefault="00901209" w:rsidP="00901209">
      <w:pPr>
        <w:numPr>
          <w:ilvl w:val="0"/>
          <w:numId w:val="11"/>
        </w:numPr>
        <w:jc w:val="both"/>
        <w:rPr>
          <w:rFonts w:ascii="Calibri" w:eastAsia="Times New Roman" w:hAnsi="Calibri" w:cs="Calibri"/>
        </w:rPr>
      </w:pPr>
      <w:r w:rsidRPr="00901209">
        <w:rPr>
          <w:rFonts w:ascii="Calibri" w:eastAsia="Times New Roman" w:hAnsi="Calibri" w:cs="Calibri"/>
        </w:rPr>
        <w:t xml:space="preserve">require accountability of </w:t>
      </w:r>
      <w:proofErr w:type="gramStart"/>
      <w:r w:rsidRPr="00901209">
        <w:rPr>
          <w:rFonts w:ascii="Calibri" w:eastAsia="Times New Roman" w:hAnsi="Calibri" w:cs="Calibri"/>
        </w:rPr>
        <w:t>performance;</w:t>
      </w:r>
      <w:proofErr w:type="gramEnd"/>
      <w:r w:rsidRPr="00901209">
        <w:rPr>
          <w:rFonts w:ascii="Calibri" w:eastAsia="Times New Roman" w:hAnsi="Calibri" w:cs="Calibri"/>
        </w:rPr>
        <w:t xml:space="preserve"> </w:t>
      </w:r>
    </w:p>
    <w:p w14:paraId="1ECFC667" w14:textId="77777777" w:rsidR="00901209" w:rsidRPr="00901209" w:rsidRDefault="00901209" w:rsidP="00901209">
      <w:pPr>
        <w:numPr>
          <w:ilvl w:val="0"/>
          <w:numId w:val="11"/>
        </w:numPr>
        <w:rPr>
          <w:rFonts w:ascii="Calibri" w:eastAsia="Times New Roman" w:hAnsi="Calibri" w:cs="Calibri"/>
        </w:rPr>
      </w:pPr>
      <w:r w:rsidRPr="00901209">
        <w:rPr>
          <w:rFonts w:ascii="Calibri" w:eastAsia="Times New Roman" w:hAnsi="Calibri" w:cs="Calibri"/>
        </w:rPr>
        <w:t>provide superior instruction/state-of-the-art technology; and</w:t>
      </w:r>
    </w:p>
    <w:p w14:paraId="23FB1312" w14:textId="77777777" w:rsidR="00901209" w:rsidRPr="00901209" w:rsidRDefault="00901209" w:rsidP="00901209">
      <w:pPr>
        <w:numPr>
          <w:ilvl w:val="0"/>
          <w:numId w:val="11"/>
        </w:numPr>
        <w:jc w:val="both"/>
        <w:rPr>
          <w:rFonts w:ascii="Calibri" w:eastAsia="Times New Roman" w:hAnsi="Calibri" w:cs="Calibri"/>
        </w:rPr>
      </w:pPr>
      <w:r w:rsidRPr="00901209">
        <w:rPr>
          <w:rFonts w:ascii="Calibri" w:eastAsia="Times New Roman" w:hAnsi="Calibri" w:cs="Calibri"/>
        </w:rPr>
        <w:t>enhance educational leadership.</w:t>
      </w:r>
    </w:p>
    <w:p w14:paraId="72174F1C" w14:textId="77777777" w:rsidR="00901209" w:rsidRPr="00901209" w:rsidRDefault="00901209" w:rsidP="00901209">
      <w:pPr>
        <w:jc w:val="both"/>
        <w:rPr>
          <w:rFonts w:ascii="Calibri" w:eastAsia="Times New Roman" w:hAnsi="Calibri" w:cs="Calibri"/>
        </w:rPr>
      </w:pPr>
    </w:p>
    <w:p w14:paraId="0342E082" w14:textId="77777777" w:rsidR="00901209" w:rsidRPr="00901209" w:rsidRDefault="00901209" w:rsidP="00901209">
      <w:pPr>
        <w:jc w:val="both"/>
        <w:rPr>
          <w:rFonts w:ascii="Calibri" w:eastAsia="Times New Roman" w:hAnsi="Calibri" w:cs="Calibri"/>
          <w:b/>
          <w:u w:val="single"/>
        </w:rPr>
      </w:pPr>
      <w:r w:rsidRPr="00901209">
        <w:rPr>
          <w:rFonts w:ascii="Calibri" w:eastAsia="Times New Roman" w:hAnsi="Calibri" w:cs="Calibri"/>
          <w:b/>
          <w:u w:val="single"/>
        </w:rPr>
        <w:t>Constitutional Categories:</w:t>
      </w:r>
    </w:p>
    <w:p w14:paraId="37AB8E1B" w14:textId="77777777" w:rsidR="00901209" w:rsidRPr="00901209" w:rsidRDefault="00901209" w:rsidP="00901209">
      <w:pPr>
        <w:jc w:val="both"/>
        <w:rPr>
          <w:rFonts w:ascii="Calibri" w:eastAsia="Times New Roman" w:hAnsi="Calibri" w:cs="Calibri"/>
        </w:rPr>
      </w:pPr>
      <w:r w:rsidRPr="00901209">
        <w:rPr>
          <w:rFonts w:ascii="Calibri" w:eastAsia="Times New Roman" w:hAnsi="Calibri" w:cs="Calibri"/>
        </w:rPr>
        <w:t xml:space="preserve">BESE is constitutionally mandated to allocate funds for any or </w:t>
      </w:r>
      <w:proofErr w:type="gramStart"/>
      <w:r w:rsidRPr="00901209">
        <w:rPr>
          <w:rFonts w:ascii="Calibri" w:eastAsia="Times New Roman" w:hAnsi="Calibri" w:cs="Calibri"/>
        </w:rPr>
        <w:t>all of</w:t>
      </w:r>
      <w:proofErr w:type="gramEnd"/>
      <w:r w:rsidRPr="00901209">
        <w:rPr>
          <w:rFonts w:ascii="Calibri" w:eastAsia="Times New Roman" w:hAnsi="Calibri" w:cs="Calibri"/>
        </w:rPr>
        <w:t xml:space="preserve"> the following purposes:</w:t>
      </w:r>
    </w:p>
    <w:p w14:paraId="4B776219" w14:textId="77777777" w:rsidR="00901209" w:rsidRPr="00901209" w:rsidRDefault="00901209" w:rsidP="00901209">
      <w:pPr>
        <w:jc w:val="both"/>
        <w:rPr>
          <w:rFonts w:ascii="Calibri" w:eastAsia="Times New Roman" w:hAnsi="Calibri" w:cs="Calibri"/>
          <w:b/>
          <w:u w:val="single"/>
        </w:rPr>
      </w:pPr>
    </w:p>
    <w:p w14:paraId="3DFB4415" w14:textId="77777777" w:rsidR="00901209" w:rsidRPr="00901209" w:rsidRDefault="00901209" w:rsidP="00901209">
      <w:pPr>
        <w:numPr>
          <w:ilvl w:val="0"/>
          <w:numId w:val="18"/>
        </w:numPr>
        <w:jc w:val="both"/>
        <w:rPr>
          <w:rFonts w:ascii="Calibri" w:eastAsia="Times New Roman" w:hAnsi="Calibri" w:cs="Calibri"/>
        </w:rPr>
      </w:pPr>
      <w:r w:rsidRPr="00901209">
        <w:rPr>
          <w:rFonts w:ascii="Calibri" w:eastAsia="Times New Roman" w:hAnsi="Calibri" w:cs="Calibri"/>
        </w:rPr>
        <w:t xml:space="preserve">To provide compensation to city or parish school board professional instructional </w:t>
      </w:r>
      <w:proofErr w:type="gramStart"/>
      <w:r w:rsidRPr="00901209">
        <w:rPr>
          <w:rFonts w:ascii="Calibri" w:eastAsia="Times New Roman" w:hAnsi="Calibri" w:cs="Calibri"/>
        </w:rPr>
        <w:t>employees;</w:t>
      </w:r>
      <w:proofErr w:type="gramEnd"/>
    </w:p>
    <w:p w14:paraId="6B6F9BCA" w14:textId="77777777" w:rsidR="00901209" w:rsidRPr="00901209" w:rsidRDefault="00901209" w:rsidP="00901209">
      <w:pPr>
        <w:numPr>
          <w:ilvl w:val="0"/>
          <w:numId w:val="18"/>
        </w:numPr>
        <w:jc w:val="both"/>
        <w:rPr>
          <w:rFonts w:ascii="Calibri" w:eastAsia="Times New Roman" w:hAnsi="Calibri" w:cs="Calibri"/>
        </w:rPr>
      </w:pPr>
      <w:r w:rsidRPr="00901209">
        <w:rPr>
          <w:rFonts w:ascii="Calibri" w:eastAsia="Times New Roman" w:hAnsi="Calibri" w:cs="Calibri"/>
        </w:rPr>
        <w:t xml:space="preserve">To insure an adequate supply of superior textbooks, library books, equipment, and other instructional </w:t>
      </w:r>
      <w:proofErr w:type="gramStart"/>
      <w:r w:rsidRPr="00901209">
        <w:rPr>
          <w:rFonts w:ascii="Calibri" w:eastAsia="Times New Roman" w:hAnsi="Calibri" w:cs="Calibri"/>
        </w:rPr>
        <w:t>materials;</w:t>
      </w:r>
      <w:proofErr w:type="gramEnd"/>
    </w:p>
    <w:p w14:paraId="33B87D22" w14:textId="77777777" w:rsidR="00901209" w:rsidRPr="00901209" w:rsidRDefault="00901209" w:rsidP="00901209">
      <w:pPr>
        <w:numPr>
          <w:ilvl w:val="0"/>
          <w:numId w:val="18"/>
        </w:numPr>
        <w:jc w:val="both"/>
        <w:rPr>
          <w:rFonts w:ascii="Calibri" w:eastAsia="Times New Roman" w:hAnsi="Calibri" w:cs="Calibri"/>
        </w:rPr>
      </w:pPr>
      <w:r w:rsidRPr="00901209">
        <w:rPr>
          <w:rFonts w:ascii="Calibri" w:eastAsia="Times New Roman" w:hAnsi="Calibri" w:cs="Calibri"/>
        </w:rPr>
        <w:lastRenderedPageBreak/>
        <w:t xml:space="preserve">To fund exemplary programs in elementary or secondary schools designed to improve elementary or secondary student academic achievement or vocational-technical </w:t>
      </w:r>
      <w:proofErr w:type="gramStart"/>
      <w:r w:rsidRPr="00901209">
        <w:rPr>
          <w:rFonts w:ascii="Calibri" w:eastAsia="Times New Roman" w:hAnsi="Calibri" w:cs="Calibri"/>
        </w:rPr>
        <w:t>skill;</w:t>
      </w:r>
      <w:proofErr w:type="gramEnd"/>
    </w:p>
    <w:p w14:paraId="47A558CB" w14:textId="77777777" w:rsidR="00901209" w:rsidRPr="00901209" w:rsidRDefault="00901209" w:rsidP="00901209">
      <w:pPr>
        <w:numPr>
          <w:ilvl w:val="0"/>
          <w:numId w:val="18"/>
        </w:numPr>
        <w:jc w:val="both"/>
        <w:rPr>
          <w:rFonts w:ascii="Calibri" w:eastAsia="Times New Roman" w:hAnsi="Calibri" w:cs="Calibri"/>
        </w:rPr>
      </w:pPr>
      <w:r w:rsidRPr="00901209">
        <w:rPr>
          <w:rFonts w:ascii="Calibri" w:eastAsia="Times New Roman" w:hAnsi="Calibri" w:cs="Calibri"/>
        </w:rPr>
        <w:t xml:space="preserve">To fund carefully defined research efforts, including pilot programs, designed to improve elementary and secondary student academic </w:t>
      </w:r>
      <w:proofErr w:type="gramStart"/>
      <w:r w:rsidRPr="00901209">
        <w:rPr>
          <w:rFonts w:ascii="Calibri" w:eastAsia="Times New Roman" w:hAnsi="Calibri" w:cs="Calibri"/>
        </w:rPr>
        <w:t>achievement;</w:t>
      </w:r>
      <w:proofErr w:type="gramEnd"/>
    </w:p>
    <w:p w14:paraId="2D4C3C9D" w14:textId="77777777" w:rsidR="00901209" w:rsidRPr="00901209" w:rsidRDefault="00901209" w:rsidP="00901209">
      <w:pPr>
        <w:numPr>
          <w:ilvl w:val="0"/>
          <w:numId w:val="18"/>
        </w:numPr>
        <w:jc w:val="both"/>
        <w:rPr>
          <w:rFonts w:ascii="Calibri" w:eastAsia="Times New Roman" w:hAnsi="Calibri" w:cs="Calibri"/>
        </w:rPr>
      </w:pPr>
      <w:r w:rsidRPr="00901209">
        <w:rPr>
          <w:rFonts w:ascii="Calibri" w:eastAsia="Times New Roman" w:hAnsi="Calibri" w:cs="Calibri"/>
        </w:rPr>
        <w:t xml:space="preserve">To fund school remediation programs and preschool </w:t>
      </w:r>
      <w:proofErr w:type="gramStart"/>
      <w:r w:rsidRPr="00901209">
        <w:rPr>
          <w:rFonts w:ascii="Calibri" w:eastAsia="Times New Roman" w:hAnsi="Calibri" w:cs="Calibri"/>
        </w:rPr>
        <w:t>programs;</w:t>
      </w:r>
      <w:proofErr w:type="gramEnd"/>
    </w:p>
    <w:p w14:paraId="60BE16D8" w14:textId="77777777" w:rsidR="00901209" w:rsidRPr="00901209" w:rsidRDefault="00901209" w:rsidP="00901209">
      <w:pPr>
        <w:numPr>
          <w:ilvl w:val="0"/>
          <w:numId w:val="18"/>
        </w:numPr>
        <w:jc w:val="both"/>
        <w:rPr>
          <w:rFonts w:ascii="Calibri" w:eastAsia="Times New Roman" w:hAnsi="Calibri" w:cs="Calibri"/>
        </w:rPr>
      </w:pPr>
      <w:r w:rsidRPr="00901209">
        <w:rPr>
          <w:rFonts w:ascii="Calibri" w:eastAsia="Times New Roman" w:hAnsi="Calibri" w:cs="Calibri"/>
        </w:rPr>
        <w:t xml:space="preserve">To fund teaching of foreign languages in elementary and secondary schools; and </w:t>
      </w:r>
    </w:p>
    <w:p w14:paraId="777F4511" w14:textId="77777777" w:rsidR="00901209" w:rsidRPr="00901209" w:rsidRDefault="00901209" w:rsidP="00901209">
      <w:pPr>
        <w:numPr>
          <w:ilvl w:val="0"/>
          <w:numId w:val="18"/>
        </w:numPr>
        <w:jc w:val="both"/>
        <w:rPr>
          <w:rFonts w:ascii="Calibri" w:eastAsia="Times New Roman" w:hAnsi="Calibri" w:cs="Calibri"/>
        </w:rPr>
      </w:pPr>
      <w:r w:rsidRPr="00901209">
        <w:rPr>
          <w:rFonts w:ascii="Calibri" w:eastAsia="Times New Roman" w:hAnsi="Calibri" w:cs="Calibri"/>
        </w:rPr>
        <w:t>To fund an adequate supply of teachers by providing scholarships or stipends to prospective teachers in academic or vocational-technical areas where there is a critical teacher shortage.</w:t>
      </w:r>
    </w:p>
    <w:p w14:paraId="68898CE4" w14:textId="77777777" w:rsidR="00901209" w:rsidRPr="00901209" w:rsidRDefault="00901209" w:rsidP="00901209">
      <w:pPr>
        <w:jc w:val="both"/>
        <w:rPr>
          <w:rFonts w:ascii="Calibri" w:eastAsia="Times New Roman" w:hAnsi="Calibri" w:cs="Calibri"/>
          <w:b/>
          <w:u w:val="single"/>
        </w:rPr>
      </w:pPr>
    </w:p>
    <w:p w14:paraId="7FEF006F" w14:textId="77777777" w:rsidR="00901209" w:rsidRPr="00901209" w:rsidRDefault="00901209" w:rsidP="00901209">
      <w:pPr>
        <w:jc w:val="both"/>
        <w:rPr>
          <w:rFonts w:ascii="Times New Roman" w:eastAsia="Times New Roman" w:hAnsi="Times New Roman" w:cs="Times New Roman"/>
          <w:b/>
          <w:bCs/>
          <w:color w:val="000000"/>
        </w:rPr>
      </w:pPr>
      <w:r w:rsidRPr="00901209">
        <w:rPr>
          <w:rFonts w:ascii="Calibri" w:eastAsia="Times New Roman" w:hAnsi="Calibri" w:cs="Calibri"/>
          <w:b/>
          <w:u w:val="single"/>
        </w:rPr>
        <w:t>FY 2019-2025 BESE Strategic Plan</w:t>
      </w:r>
      <w:r w:rsidRPr="00901209">
        <w:rPr>
          <w:rFonts w:ascii="Times New Roman" w:eastAsia="Times New Roman" w:hAnsi="Times New Roman" w:cs="Times New Roman"/>
          <w:b/>
          <w:bCs/>
          <w:color w:val="000000"/>
        </w:rPr>
        <w:t>:</w:t>
      </w:r>
    </w:p>
    <w:p w14:paraId="0EF09AF6" w14:textId="77777777" w:rsidR="00901209" w:rsidRPr="00901209" w:rsidRDefault="00901209" w:rsidP="00901209">
      <w:pPr>
        <w:jc w:val="both"/>
        <w:rPr>
          <w:rFonts w:ascii="Times New Roman" w:eastAsia="Times New Roman" w:hAnsi="Times New Roman" w:cs="Times New Roman"/>
          <w:b/>
          <w:bCs/>
          <w:color w:val="000000"/>
        </w:rPr>
      </w:pPr>
    </w:p>
    <w:p w14:paraId="3F7593ED" w14:textId="77777777" w:rsidR="00901209" w:rsidRPr="00901209" w:rsidRDefault="00901209" w:rsidP="00901209">
      <w:pPr>
        <w:jc w:val="both"/>
        <w:rPr>
          <w:rFonts w:ascii="Calibri" w:eastAsia="Times New Roman" w:hAnsi="Calibri" w:cs="Calibri"/>
          <w:b/>
          <w:u w:val="single"/>
        </w:rPr>
      </w:pPr>
      <w:r w:rsidRPr="00901209">
        <w:rPr>
          <w:rFonts w:ascii="Calibri" w:eastAsia="Times New Roman" w:hAnsi="Calibri" w:cs="Calibri"/>
          <w:b/>
          <w:bCs/>
          <w:color w:val="000000"/>
        </w:rPr>
        <w:t>Goals</w:t>
      </w:r>
    </w:p>
    <w:p w14:paraId="1CB8CCA8" w14:textId="77777777" w:rsidR="00901209" w:rsidRPr="00901209" w:rsidRDefault="00901209" w:rsidP="00901209">
      <w:pPr>
        <w:numPr>
          <w:ilvl w:val="0"/>
          <w:numId w:val="23"/>
        </w:numPr>
        <w:autoSpaceDE w:val="0"/>
        <w:autoSpaceDN w:val="0"/>
        <w:adjustRightInd w:val="0"/>
        <w:spacing w:after="83"/>
        <w:rPr>
          <w:rFonts w:ascii="Calibri" w:eastAsia="Times New Roman" w:hAnsi="Calibri" w:cs="Calibri"/>
          <w:color w:val="000000"/>
        </w:rPr>
      </w:pPr>
      <w:r w:rsidRPr="00901209">
        <w:rPr>
          <w:rFonts w:ascii="Calibri" w:eastAsia="Times New Roman" w:hAnsi="Calibri" w:cs="Calibri"/>
          <w:color w:val="000000"/>
        </w:rPr>
        <w:t>BESE will provide leadership in setting an education agenda for the continuous improvement of public education, as measured by student and school achievement; and</w:t>
      </w:r>
    </w:p>
    <w:p w14:paraId="78900F89" w14:textId="77777777" w:rsidR="00901209" w:rsidRPr="00901209" w:rsidRDefault="00901209" w:rsidP="00901209">
      <w:pPr>
        <w:numPr>
          <w:ilvl w:val="0"/>
          <w:numId w:val="23"/>
        </w:numPr>
        <w:autoSpaceDE w:val="0"/>
        <w:autoSpaceDN w:val="0"/>
        <w:adjustRightInd w:val="0"/>
        <w:spacing w:after="83"/>
        <w:rPr>
          <w:rFonts w:ascii="Times New Roman" w:eastAsia="Times New Roman" w:hAnsi="Times New Roman" w:cs="Times New Roman"/>
          <w:color w:val="000000"/>
        </w:rPr>
      </w:pPr>
      <w:r w:rsidRPr="00901209">
        <w:rPr>
          <w:rFonts w:ascii="Calibri" w:eastAsia="Times New Roman" w:hAnsi="Calibri" w:cs="Calibri"/>
          <w:color w:val="000000"/>
        </w:rPr>
        <w:t>BESE will strive to improve financing of public education, as measured by the effective and efficient use of human and financial resources</w:t>
      </w:r>
      <w:r w:rsidRPr="00901209">
        <w:rPr>
          <w:rFonts w:ascii="Times New Roman" w:eastAsia="Times New Roman" w:hAnsi="Times New Roman" w:cs="Times New Roman"/>
          <w:color w:val="000000"/>
        </w:rPr>
        <w:t xml:space="preserve">. </w:t>
      </w:r>
    </w:p>
    <w:p w14:paraId="49B0F80D" w14:textId="77777777" w:rsidR="00901209" w:rsidRPr="00901209" w:rsidRDefault="00901209" w:rsidP="00901209">
      <w:pPr>
        <w:jc w:val="both"/>
        <w:rPr>
          <w:rFonts w:ascii="Calibri" w:eastAsia="Times New Roman" w:hAnsi="Calibri" w:cs="Calibri"/>
          <w:b/>
          <w:u w:val="single"/>
        </w:rPr>
      </w:pPr>
    </w:p>
    <w:p w14:paraId="2528D92D" w14:textId="77777777" w:rsidR="00901209" w:rsidRPr="00901209" w:rsidRDefault="00901209" w:rsidP="00901209">
      <w:pPr>
        <w:jc w:val="both"/>
        <w:rPr>
          <w:rFonts w:ascii="Calibri" w:eastAsia="Times New Roman" w:hAnsi="Calibri" w:cs="Calibri"/>
          <w:b/>
        </w:rPr>
      </w:pPr>
      <w:r w:rsidRPr="00901209">
        <w:rPr>
          <w:rFonts w:ascii="Calibri" w:eastAsia="Times New Roman" w:hAnsi="Calibri" w:cs="Calibri"/>
          <w:b/>
        </w:rPr>
        <w:t>Strategies</w:t>
      </w:r>
    </w:p>
    <w:p w14:paraId="2B204DA5" w14:textId="77777777" w:rsidR="00901209" w:rsidRPr="00901209" w:rsidRDefault="00901209" w:rsidP="00901209">
      <w:pPr>
        <w:numPr>
          <w:ilvl w:val="0"/>
          <w:numId w:val="24"/>
        </w:numPr>
        <w:autoSpaceDE w:val="0"/>
        <w:autoSpaceDN w:val="0"/>
        <w:adjustRightInd w:val="0"/>
        <w:rPr>
          <w:rFonts w:ascii="Calibri" w:eastAsia="Times New Roman" w:hAnsi="Calibri" w:cs="Calibri"/>
          <w:color w:val="000000"/>
        </w:rPr>
      </w:pPr>
      <w:r w:rsidRPr="00901209">
        <w:rPr>
          <w:rFonts w:ascii="Calibri" w:eastAsia="Times New Roman" w:hAnsi="Calibri" w:cs="Calibri"/>
          <w:color w:val="000000"/>
        </w:rPr>
        <w:t xml:space="preserve">Ensure that all students, at every grade level, are on track to graduate with a college and/or career </w:t>
      </w:r>
      <w:proofErr w:type="gramStart"/>
      <w:r w:rsidRPr="00901209">
        <w:rPr>
          <w:rFonts w:ascii="Calibri" w:eastAsia="Times New Roman" w:hAnsi="Calibri" w:cs="Calibri"/>
          <w:color w:val="000000"/>
        </w:rPr>
        <w:t>credential</w:t>
      </w:r>
      <w:proofErr w:type="gramEnd"/>
    </w:p>
    <w:p w14:paraId="114F728F" w14:textId="77777777" w:rsidR="00901209" w:rsidRPr="00901209" w:rsidRDefault="00901209" w:rsidP="00901209">
      <w:pPr>
        <w:numPr>
          <w:ilvl w:val="0"/>
          <w:numId w:val="24"/>
        </w:numPr>
        <w:autoSpaceDE w:val="0"/>
        <w:autoSpaceDN w:val="0"/>
        <w:adjustRightInd w:val="0"/>
        <w:rPr>
          <w:rFonts w:ascii="Calibri" w:eastAsia="Times New Roman" w:hAnsi="Calibri" w:cs="Calibri"/>
          <w:color w:val="000000"/>
        </w:rPr>
      </w:pPr>
      <w:r w:rsidRPr="00901209">
        <w:rPr>
          <w:rFonts w:ascii="Calibri" w:eastAsia="Times New Roman" w:hAnsi="Calibri" w:cs="Calibri"/>
          <w:color w:val="000000"/>
        </w:rPr>
        <w:t xml:space="preserve">Build and strengthen state policy and practice to support students in an effort to identify gaps and advance opportunities for Louisiana </w:t>
      </w:r>
      <w:proofErr w:type="gramStart"/>
      <w:r w:rsidRPr="00901209">
        <w:rPr>
          <w:rFonts w:ascii="Calibri" w:eastAsia="Times New Roman" w:hAnsi="Calibri" w:cs="Calibri"/>
          <w:color w:val="000000"/>
        </w:rPr>
        <w:t>students</w:t>
      </w:r>
      <w:proofErr w:type="gramEnd"/>
      <w:r w:rsidRPr="00901209">
        <w:rPr>
          <w:rFonts w:ascii="Calibri" w:eastAsia="Times New Roman" w:hAnsi="Calibri" w:cs="Calibri"/>
          <w:color w:val="000000"/>
        </w:rPr>
        <w:t xml:space="preserve"> </w:t>
      </w:r>
    </w:p>
    <w:p w14:paraId="2FEA9398" w14:textId="77777777" w:rsidR="00901209" w:rsidRPr="00901209" w:rsidRDefault="00901209" w:rsidP="00901209">
      <w:pPr>
        <w:numPr>
          <w:ilvl w:val="0"/>
          <w:numId w:val="24"/>
        </w:numPr>
        <w:autoSpaceDE w:val="0"/>
        <w:autoSpaceDN w:val="0"/>
        <w:adjustRightInd w:val="0"/>
        <w:rPr>
          <w:rFonts w:ascii="Calibri" w:eastAsia="Times New Roman" w:hAnsi="Calibri" w:cs="Calibri"/>
          <w:color w:val="000000"/>
        </w:rPr>
      </w:pPr>
      <w:r w:rsidRPr="00901209">
        <w:rPr>
          <w:rFonts w:ascii="Calibri" w:eastAsia="Times New Roman" w:hAnsi="Calibri" w:cs="Calibri"/>
          <w:color w:val="000000"/>
        </w:rPr>
        <w:t xml:space="preserve">Maintain a system of high-quality and accountable educational options for students and </w:t>
      </w:r>
      <w:proofErr w:type="gramStart"/>
      <w:r w:rsidRPr="00901209">
        <w:rPr>
          <w:rFonts w:ascii="Calibri" w:eastAsia="Times New Roman" w:hAnsi="Calibri" w:cs="Calibri"/>
          <w:color w:val="000000"/>
        </w:rPr>
        <w:t>families</w:t>
      </w:r>
      <w:proofErr w:type="gramEnd"/>
    </w:p>
    <w:p w14:paraId="552CF82C" w14:textId="77777777" w:rsidR="00901209" w:rsidRPr="00901209" w:rsidRDefault="00901209" w:rsidP="00901209">
      <w:pPr>
        <w:numPr>
          <w:ilvl w:val="0"/>
          <w:numId w:val="24"/>
        </w:numPr>
        <w:autoSpaceDE w:val="0"/>
        <w:autoSpaceDN w:val="0"/>
        <w:adjustRightInd w:val="0"/>
        <w:rPr>
          <w:rFonts w:ascii="Calibri" w:eastAsia="Times New Roman" w:hAnsi="Calibri" w:cs="Calibri"/>
          <w:color w:val="000000"/>
        </w:rPr>
      </w:pPr>
      <w:r w:rsidRPr="00901209">
        <w:rPr>
          <w:rFonts w:ascii="Calibri" w:eastAsia="Times New Roman" w:hAnsi="Calibri" w:cs="Calibri"/>
          <w:color w:val="000000"/>
          <w:sz w:val="24"/>
          <w:szCs w:val="24"/>
        </w:rPr>
        <w:t xml:space="preserve">Use limited resources in the most strategic and equitable ways possible to increase and support student </w:t>
      </w:r>
      <w:proofErr w:type="gramStart"/>
      <w:r w:rsidRPr="00901209">
        <w:rPr>
          <w:rFonts w:ascii="Calibri" w:eastAsia="Times New Roman" w:hAnsi="Calibri" w:cs="Calibri"/>
          <w:color w:val="000000"/>
          <w:sz w:val="24"/>
          <w:szCs w:val="24"/>
        </w:rPr>
        <w:t>achievement</w:t>
      </w:r>
      <w:proofErr w:type="gramEnd"/>
    </w:p>
    <w:p w14:paraId="3939948A" w14:textId="77777777" w:rsidR="00901209" w:rsidRPr="00901209" w:rsidRDefault="00901209" w:rsidP="00901209">
      <w:pPr>
        <w:autoSpaceDE w:val="0"/>
        <w:autoSpaceDN w:val="0"/>
        <w:adjustRightInd w:val="0"/>
        <w:ind w:left="720"/>
        <w:rPr>
          <w:rFonts w:ascii="Calibri" w:eastAsia="Times New Roman" w:hAnsi="Calibri" w:cs="Calibri"/>
          <w:color w:val="1F497D"/>
        </w:rPr>
      </w:pPr>
    </w:p>
    <w:p w14:paraId="710442D4" w14:textId="77777777" w:rsidR="00901209" w:rsidRPr="00901209" w:rsidRDefault="00901209" w:rsidP="00901209">
      <w:pPr>
        <w:ind w:left="720"/>
        <w:jc w:val="both"/>
        <w:rPr>
          <w:rFonts w:ascii="Calibri" w:eastAsia="Times New Roman" w:hAnsi="Calibri" w:cs="Calibri"/>
        </w:rPr>
      </w:pPr>
    </w:p>
    <w:p w14:paraId="4B84B0E8" w14:textId="77777777" w:rsidR="00901209" w:rsidRPr="00901209" w:rsidRDefault="00901209" w:rsidP="00901209">
      <w:pPr>
        <w:jc w:val="both"/>
        <w:rPr>
          <w:rFonts w:ascii="Calibri" w:eastAsia="Times New Roman" w:hAnsi="Calibri" w:cs="Calibri"/>
          <w:b/>
          <w:u w:val="single"/>
        </w:rPr>
      </w:pPr>
      <w:r w:rsidRPr="00901209">
        <w:rPr>
          <w:rFonts w:ascii="Calibri" w:eastAsia="Times New Roman" w:hAnsi="Calibri" w:cs="Calibri"/>
          <w:b/>
          <w:u w:val="single"/>
        </w:rPr>
        <w:t>2022-2023 8(g) Priority Areas:</w:t>
      </w:r>
    </w:p>
    <w:tbl>
      <w:tblPr>
        <w:tblpPr w:leftFromText="180" w:rightFromText="180" w:vertAnchor="text" w:horzAnchor="margin" w:tblpXSpec="right" w:tblpY="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tblGrid>
      <w:tr w:rsidR="00901209" w:rsidRPr="00901209" w14:paraId="1E7A06BA" w14:textId="77777777" w:rsidTr="00337D59">
        <w:tc>
          <w:tcPr>
            <w:tcW w:w="3348" w:type="dxa"/>
            <w:shd w:val="clear" w:color="auto" w:fill="17365D"/>
          </w:tcPr>
          <w:p w14:paraId="3C8391B8" w14:textId="77777777" w:rsidR="00901209" w:rsidRPr="00901209" w:rsidRDefault="00901209" w:rsidP="00901209">
            <w:pPr>
              <w:jc w:val="both"/>
              <w:rPr>
                <w:rFonts w:ascii="Calibri" w:eastAsia="Times New Roman" w:hAnsi="Calibri" w:cs="Calibri"/>
              </w:rPr>
            </w:pPr>
            <w:r w:rsidRPr="00901209">
              <w:rPr>
                <w:rFonts w:ascii="Calibri" w:eastAsia="Times New Roman" w:hAnsi="Calibri" w:cs="Calibri"/>
              </w:rPr>
              <w:t>Since 1988, BESE 8(g) has funded more than $266 million in pre-kindergarten programs</w:t>
            </w:r>
          </w:p>
        </w:tc>
      </w:tr>
    </w:tbl>
    <w:p w14:paraId="4A60E0F7" w14:textId="77777777" w:rsidR="00901209" w:rsidRPr="00901209" w:rsidRDefault="00901209" w:rsidP="00901209">
      <w:pPr>
        <w:numPr>
          <w:ilvl w:val="0"/>
          <w:numId w:val="11"/>
        </w:numPr>
        <w:jc w:val="both"/>
        <w:rPr>
          <w:rFonts w:ascii="Calibri" w:eastAsia="Times New Roman" w:hAnsi="Calibri" w:cs="Calibri"/>
        </w:rPr>
      </w:pPr>
      <w:r w:rsidRPr="00901209">
        <w:rPr>
          <w:rFonts w:ascii="Calibri" w:eastAsia="Times New Roman" w:hAnsi="Calibri" w:cs="Calibri"/>
        </w:rPr>
        <w:t xml:space="preserve">High-Quality Early Childhood </w:t>
      </w:r>
      <w:proofErr w:type="gramStart"/>
      <w:r w:rsidRPr="00901209">
        <w:rPr>
          <w:rFonts w:ascii="Calibri" w:eastAsia="Times New Roman" w:hAnsi="Calibri" w:cs="Calibri"/>
        </w:rPr>
        <w:t>Education;</w:t>
      </w:r>
      <w:proofErr w:type="gramEnd"/>
    </w:p>
    <w:p w14:paraId="01A343F1" w14:textId="77777777" w:rsidR="00901209" w:rsidRPr="00901209" w:rsidRDefault="00901209" w:rsidP="00901209">
      <w:pPr>
        <w:numPr>
          <w:ilvl w:val="0"/>
          <w:numId w:val="11"/>
        </w:numPr>
        <w:jc w:val="both"/>
        <w:rPr>
          <w:rFonts w:ascii="Calibri" w:eastAsia="Times New Roman" w:hAnsi="Calibri" w:cs="Calibri"/>
        </w:rPr>
      </w:pPr>
      <w:r w:rsidRPr="00901209">
        <w:rPr>
          <w:rFonts w:ascii="Calibri" w:eastAsia="Times New Roman" w:hAnsi="Calibri" w:cs="Calibri"/>
        </w:rPr>
        <w:t xml:space="preserve">College and Career </w:t>
      </w:r>
      <w:proofErr w:type="gramStart"/>
      <w:r w:rsidRPr="00901209">
        <w:rPr>
          <w:rFonts w:ascii="Calibri" w:eastAsia="Times New Roman" w:hAnsi="Calibri" w:cs="Calibri"/>
        </w:rPr>
        <w:t>Readiness;</w:t>
      </w:r>
      <w:proofErr w:type="gramEnd"/>
    </w:p>
    <w:p w14:paraId="6F7230B7" w14:textId="77777777" w:rsidR="00901209" w:rsidRPr="00901209" w:rsidRDefault="00901209" w:rsidP="00901209">
      <w:pPr>
        <w:numPr>
          <w:ilvl w:val="0"/>
          <w:numId w:val="11"/>
        </w:numPr>
        <w:jc w:val="both"/>
        <w:rPr>
          <w:rFonts w:ascii="Calibri" w:eastAsia="Times New Roman" w:hAnsi="Calibri" w:cs="Calibri"/>
        </w:rPr>
      </w:pPr>
      <w:r w:rsidRPr="00901209">
        <w:rPr>
          <w:rFonts w:ascii="Calibri" w:eastAsia="Times New Roman" w:hAnsi="Calibri" w:cs="Calibri"/>
        </w:rPr>
        <w:t>Teacher and Leadership Development; and</w:t>
      </w:r>
    </w:p>
    <w:p w14:paraId="0AC3D738" w14:textId="77777777" w:rsidR="00901209" w:rsidRPr="00901209" w:rsidRDefault="00901209" w:rsidP="00901209">
      <w:pPr>
        <w:numPr>
          <w:ilvl w:val="0"/>
          <w:numId w:val="11"/>
        </w:numPr>
        <w:jc w:val="both"/>
        <w:rPr>
          <w:rFonts w:ascii="Calibri" w:eastAsia="Times New Roman" w:hAnsi="Calibri" w:cs="Calibri"/>
        </w:rPr>
      </w:pPr>
      <w:r w:rsidRPr="00901209">
        <w:rPr>
          <w:rFonts w:ascii="Calibri" w:eastAsia="Times New Roman" w:hAnsi="Calibri" w:cs="Calibri"/>
        </w:rPr>
        <w:t xml:space="preserve">Technology and Innovation </w:t>
      </w:r>
    </w:p>
    <w:p w14:paraId="16242C3B" w14:textId="77777777" w:rsidR="00901209" w:rsidRPr="00901209" w:rsidRDefault="00901209" w:rsidP="00901209">
      <w:pPr>
        <w:numPr>
          <w:ilvl w:val="0"/>
          <w:numId w:val="11"/>
        </w:numPr>
        <w:jc w:val="both"/>
        <w:rPr>
          <w:rFonts w:ascii="Calibri" w:eastAsia="Times New Roman" w:hAnsi="Calibri" w:cs="Calibri"/>
        </w:rPr>
      </w:pPr>
      <w:r w:rsidRPr="00901209">
        <w:rPr>
          <w:rFonts w:ascii="Calibri" w:eastAsia="Times New Roman" w:hAnsi="Calibri" w:cs="Calibri"/>
        </w:rPr>
        <w:t>Science, Technology, Engineering, and Mathematics (STEM)</w:t>
      </w:r>
    </w:p>
    <w:p w14:paraId="04C17F58" w14:textId="77777777" w:rsidR="00901209" w:rsidRPr="00901209" w:rsidRDefault="00901209" w:rsidP="00901209">
      <w:pPr>
        <w:jc w:val="both"/>
        <w:rPr>
          <w:rFonts w:ascii="Calibri" w:eastAsia="Times New Roman" w:hAnsi="Calibri" w:cs="Calibri"/>
        </w:rPr>
      </w:pPr>
    </w:p>
    <w:p w14:paraId="0E3F1762" w14:textId="77777777" w:rsidR="00901209" w:rsidRPr="00901209" w:rsidRDefault="00901209" w:rsidP="00901209">
      <w:pPr>
        <w:jc w:val="both"/>
        <w:rPr>
          <w:rFonts w:ascii="Calibri" w:eastAsia="Times New Roman" w:hAnsi="Calibri" w:cs="Calibri"/>
          <w:b/>
          <w:u w:val="single"/>
        </w:rPr>
      </w:pPr>
      <w:r w:rsidRPr="00901209">
        <w:rPr>
          <w:rFonts w:ascii="Calibri" w:eastAsia="Times New Roman" w:hAnsi="Calibri" w:cs="Calibri"/>
          <w:b/>
          <w:u w:val="single"/>
        </w:rPr>
        <w:t>Student Enhancement Block Grant Program</w:t>
      </w:r>
    </w:p>
    <w:p w14:paraId="2570B7DC" w14:textId="77777777" w:rsidR="00901209" w:rsidRPr="00901209" w:rsidRDefault="00901209" w:rsidP="00901209">
      <w:pPr>
        <w:jc w:val="both"/>
        <w:rPr>
          <w:rFonts w:ascii="Calibri" w:eastAsia="Times New Roman" w:hAnsi="Calibri" w:cs="Calibri"/>
        </w:rPr>
      </w:pPr>
    </w:p>
    <w:p w14:paraId="704A41AB" w14:textId="77777777" w:rsidR="00901209" w:rsidRPr="00901209" w:rsidRDefault="00901209" w:rsidP="00901209">
      <w:pPr>
        <w:jc w:val="both"/>
        <w:rPr>
          <w:rFonts w:ascii="Calibri" w:eastAsia="Times New Roman" w:hAnsi="Calibri" w:cs="Calibri"/>
        </w:rPr>
      </w:pPr>
      <w:r w:rsidRPr="00901209">
        <w:rPr>
          <w:rFonts w:ascii="Calibri" w:eastAsia="Times New Roman" w:hAnsi="Calibri" w:cs="Calibri"/>
        </w:rPr>
        <w:t xml:space="preserve">The Elementary/Secondary Block Grant Program provides funds for projects that serve as catalysts for student academic or vocational technical skill improvement. Participants select from designated focus areas in accordance with local priorities. Eligible participants are limited to public and nonpublic systems, public independent schools, and nonpublic independent schools meeting eligibility requirements. </w:t>
      </w:r>
    </w:p>
    <w:p w14:paraId="6BC639A6" w14:textId="77777777" w:rsidR="00901209" w:rsidRPr="00901209" w:rsidRDefault="00901209" w:rsidP="00901209">
      <w:pPr>
        <w:jc w:val="both"/>
        <w:rPr>
          <w:rFonts w:ascii="Calibri" w:eastAsia="Times New Roman" w:hAnsi="Calibri" w:cs="Calibri"/>
        </w:rPr>
      </w:pPr>
    </w:p>
    <w:p w14:paraId="2E9E9150" w14:textId="77777777" w:rsidR="00901209" w:rsidRPr="00901209" w:rsidRDefault="00901209" w:rsidP="00901209">
      <w:pPr>
        <w:jc w:val="both"/>
        <w:rPr>
          <w:rFonts w:ascii="Calibri" w:eastAsia="Times New Roman" w:hAnsi="Calibri" w:cs="Calibri"/>
        </w:rPr>
      </w:pPr>
      <w:r w:rsidRPr="00901209">
        <w:rPr>
          <w:rFonts w:ascii="Calibri" w:eastAsia="Times New Roman" w:hAnsi="Calibri" w:cs="Calibri"/>
        </w:rPr>
        <w:t xml:space="preserve">Block grant guidelines and application packets are published each year in the spring, and proposals are submitted for BESE approval in the fall of each year. Based on a per pupil allocation, eligible systems and schools receive block grant funding according to enrollment figures taken from the previous year. Agencies may apply for block grant funds for any Board-focused project for up to four consecutive years. </w:t>
      </w:r>
    </w:p>
    <w:p w14:paraId="14397538" w14:textId="77777777" w:rsidR="00901209" w:rsidRPr="00901209" w:rsidRDefault="00901209" w:rsidP="00901209">
      <w:pPr>
        <w:jc w:val="both"/>
        <w:rPr>
          <w:rFonts w:ascii="Calibri" w:eastAsia="Times New Roman" w:hAnsi="Calibri" w:cs="Calibri"/>
        </w:rPr>
      </w:pPr>
    </w:p>
    <w:p w14:paraId="7B529FEF" w14:textId="224FE230" w:rsidR="00901209" w:rsidRPr="00901209" w:rsidRDefault="00901209" w:rsidP="00901209">
      <w:pPr>
        <w:jc w:val="both"/>
        <w:rPr>
          <w:rFonts w:ascii="Calibri" w:eastAsia="Times New Roman" w:hAnsi="Calibri" w:cs="Calibri"/>
        </w:rPr>
      </w:pPr>
      <w:r w:rsidRPr="00901209">
        <w:rPr>
          <w:rFonts w:ascii="Calibri" w:eastAsia="Times New Roman" w:hAnsi="Calibri" w:cs="Calibri"/>
        </w:rPr>
        <w:lastRenderedPageBreak/>
        <w:t xml:space="preserve">Annually, selected block grant projects are evaluated by independent evaluators, who have been selected by BESE. Evaluators conduct site visit reports of designated schools receiving funding by </w:t>
      </w:r>
      <w:commentRangeStart w:id="8"/>
      <w:r w:rsidRPr="00901209">
        <w:rPr>
          <w:rFonts w:ascii="Calibri" w:eastAsia="Times New Roman" w:hAnsi="Calibri" w:cs="Calibri"/>
        </w:rPr>
        <w:t xml:space="preserve">assessing the </w:t>
      </w:r>
      <w:commentRangeEnd w:id="8"/>
      <w:r w:rsidR="004C1F3A">
        <w:rPr>
          <w:rStyle w:val="CommentReference"/>
        </w:rPr>
        <w:commentReference w:id="8"/>
      </w:r>
      <w:r w:rsidRPr="00901209">
        <w:rPr>
          <w:rFonts w:ascii="Calibri" w:eastAsia="Times New Roman" w:hAnsi="Calibri" w:cs="Calibri"/>
        </w:rPr>
        <w:t xml:space="preserve">strengths and weaknesses of the project design as well as the impact on student learning. </w:t>
      </w:r>
      <w:r w:rsidRPr="00901209">
        <w:rPr>
          <w:rFonts w:ascii="Calibri" w:eastAsia="Times New Roman" w:hAnsi="Calibri" w:cs="Calibri"/>
        </w:rPr>
        <w:cr/>
      </w:r>
    </w:p>
    <w:p w14:paraId="2BCE95AD" w14:textId="77777777" w:rsidR="00901209" w:rsidRPr="00901209" w:rsidRDefault="00901209" w:rsidP="00901209">
      <w:pPr>
        <w:jc w:val="both"/>
        <w:rPr>
          <w:rFonts w:ascii="Calibri" w:eastAsia="Times New Roman" w:hAnsi="Calibri" w:cs="Calibri"/>
          <w:b/>
          <w:u w:val="single"/>
        </w:rPr>
      </w:pPr>
      <w:r w:rsidRPr="00901209">
        <w:rPr>
          <w:rFonts w:ascii="Calibri" w:eastAsia="Times New Roman" w:hAnsi="Calibri" w:cs="Calibri"/>
          <w:b/>
          <w:u w:val="single"/>
        </w:rPr>
        <w:t>Statewide Grant Programs</w:t>
      </w:r>
    </w:p>
    <w:p w14:paraId="2F50DF72" w14:textId="77777777" w:rsidR="00901209" w:rsidRPr="00901209" w:rsidRDefault="00901209" w:rsidP="00901209">
      <w:pPr>
        <w:jc w:val="both"/>
        <w:rPr>
          <w:rFonts w:ascii="Calibri" w:eastAsia="Times New Roman" w:hAnsi="Calibri" w:cs="Calibri"/>
        </w:rPr>
      </w:pPr>
    </w:p>
    <w:p w14:paraId="4C98EAD6" w14:textId="77777777" w:rsidR="00901209" w:rsidRPr="00901209" w:rsidRDefault="00901209" w:rsidP="00901209">
      <w:pPr>
        <w:jc w:val="both"/>
        <w:rPr>
          <w:rFonts w:ascii="Calibri" w:eastAsia="Times New Roman" w:hAnsi="Calibri" w:cs="Calibri"/>
        </w:rPr>
      </w:pPr>
      <w:r w:rsidRPr="00901209">
        <w:rPr>
          <w:rFonts w:ascii="Calibri" w:eastAsia="Times New Roman" w:hAnsi="Calibri" w:cs="Calibri"/>
        </w:rPr>
        <w:t xml:space="preserve">The statewide programs are administered by state agencies, generally the Louisiana Department of Education (LDE), </w:t>
      </w:r>
      <w:proofErr w:type="gramStart"/>
      <w:r w:rsidRPr="00901209">
        <w:rPr>
          <w:rFonts w:ascii="Calibri" w:eastAsia="Times New Roman" w:hAnsi="Calibri" w:cs="Calibri"/>
        </w:rPr>
        <w:t>in order to</w:t>
      </w:r>
      <w:proofErr w:type="gramEnd"/>
      <w:r w:rsidRPr="00901209">
        <w:rPr>
          <w:rFonts w:ascii="Calibri" w:eastAsia="Times New Roman" w:hAnsi="Calibri" w:cs="Calibri"/>
        </w:rPr>
        <w:t xml:space="preserve"> provide goods (such as equipment), services (such as staff development), or flow-through dollars to schools or school systems. The programs target specific participants and/or focus on common goals determined by the administering agency. Some statewide programs are implemented on a pilot basis via selected sites, while others impact large numbers of schools and students throughout Louisiana. </w:t>
      </w:r>
    </w:p>
    <w:p w14:paraId="2175E617" w14:textId="77777777" w:rsidR="00901209" w:rsidRPr="00901209" w:rsidRDefault="00901209" w:rsidP="00901209">
      <w:pPr>
        <w:jc w:val="both"/>
        <w:rPr>
          <w:rFonts w:ascii="Calibri" w:eastAsia="Times New Roman" w:hAnsi="Calibri" w:cs="Calibri"/>
        </w:rPr>
      </w:pPr>
    </w:p>
    <w:p w14:paraId="4308CBBC" w14:textId="77777777" w:rsidR="00901209" w:rsidRPr="00901209" w:rsidRDefault="00901209" w:rsidP="00901209">
      <w:pPr>
        <w:jc w:val="both"/>
        <w:rPr>
          <w:rFonts w:ascii="Calibri" w:eastAsia="Times New Roman" w:hAnsi="Calibri" w:cs="Calibri"/>
        </w:rPr>
      </w:pPr>
      <w:r w:rsidRPr="00901209">
        <w:rPr>
          <w:rFonts w:ascii="Calibri" w:eastAsia="Times New Roman" w:hAnsi="Calibri" w:cs="Calibri"/>
        </w:rPr>
        <w:t>Each year BESE allocates a percentage of the overall 8(g) budget for the statewide grant programs, and the program design and budgets are approved by BESE. The agencies administering the Statewide</w:t>
      </w:r>
    </w:p>
    <w:p w14:paraId="437CBACC" w14:textId="77777777" w:rsidR="00901209" w:rsidRPr="00901209" w:rsidRDefault="00901209" w:rsidP="00901209">
      <w:pPr>
        <w:jc w:val="both"/>
        <w:rPr>
          <w:rFonts w:ascii="Calibri" w:eastAsia="Times New Roman" w:hAnsi="Calibri" w:cs="Calibri"/>
        </w:rPr>
      </w:pPr>
      <w:r w:rsidRPr="00901209">
        <w:rPr>
          <w:rFonts w:ascii="Calibri" w:eastAsia="Times New Roman" w:hAnsi="Calibri" w:cs="Calibri"/>
        </w:rPr>
        <w:t xml:space="preserve">Programs have an individual and </w:t>
      </w:r>
      <w:proofErr w:type="gramStart"/>
      <w:r w:rsidRPr="00901209">
        <w:rPr>
          <w:rFonts w:ascii="Calibri" w:eastAsia="Times New Roman" w:hAnsi="Calibri" w:cs="Calibri"/>
        </w:rPr>
        <w:t>particular system</w:t>
      </w:r>
      <w:proofErr w:type="gramEnd"/>
      <w:r w:rsidRPr="00901209">
        <w:rPr>
          <w:rFonts w:ascii="Calibri" w:eastAsia="Times New Roman" w:hAnsi="Calibri" w:cs="Calibri"/>
        </w:rPr>
        <w:t xml:space="preserve"> for funding, as well as identifying and notifying participants. Districts or independent schools apply directly to these agencies for program guidelines and funding methods.</w:t>
      </w:r>
    </w:p>
    <w:p w14:paraId="2316F33C" w14:textId="77777777" w:rsidR="00901209" w:rsidRPr="00901209" w:rsidRDefault="00901209" w:rsidP="00901209">
      <w:pPr>
        <w:jc w:val="both"/>
        <w:rPr>
          <w:rFonts w:ascii="Calibri" w:eastAsia="Times New Roman" w:hAnsi="Calibri" w:cs="Calibri"/>
        </w:rPr>
      </w:pPr>
    </w:p>
    <w:p w14:paraId="427E1771" w14:textId="77777777" w:rsidR="00901209" w:rsidRPr="00901209" w:rsidRDefault="00901209" w:rsidP="00901209">
      <w:pPr>
        <w:jc w:val="both"/>
        <w:rPr>
          <w:rFonts w:ascii="Calibri" w:eastAsia="Times New Roman" w:hAnsi="Calibri" w:cs="Calibri"/>
        </w:rPr>
      </w:pPr>
      <w:r w:rsidRPr="00901209">
        <w:rPr>
          <w:rFonts w:ascii="Calibri" w:eastAsia="Times New Roman" w:hAnsi="Calibri" w:cs="Calibri"/>
        </w:rPr>
        <w:t>Annually, independent evaluators, selected by BESE, conduct visits to local program sites around the state. Evaluators interview teachers, administrators, and central office supervisors to determine how well the program is operating and whether the program is meeting specific performance objectives.</w:t>
      </w:r>
    </w:p>
    <w:p w14:paraId="7A56314C" w14:textId="77777777" w:rsidR="00901209" w:rsidRPr="00901209" w:rsidRDefault="00901209" w:rsidP="00901209">
      <w:pPr>
        <w:jc w:val="both"/>
        <w:rPr>
          <w:rFonts w:ascii="Calibri" w:eastAsia="Times New Roman" w:hAnsi="Calibri" w:cs="Calibri"/>
        </w:rPr>
      </w:pPr>
    </w:p>
    <w:p w14:paraId="57AE3C59" w14:textId="77777777" w:rsidR="00901209" w:rsidRPr="00901209" w:rsidRDefault="00901209" w:rsidP="00901209">
      <w:pPr>
        <w:jc w:val="both"/>
        <w:rPr>
          <w:rFonts w:ascii="Calibri" w:eastAsia="Times New Roman" w:hAnsi="Calibri" w:cs="Calibri"/>
        </w:rPr>
      </w:pPr>
    </w:p>
    <w:p w14:paraId="524E1964" w14:textId="77777777" w:rsidR="00901209" w:rsidRPr="00901209" w:rsidRDefault="00901209" w:rsidP="00901209">
      <w:pPr>
        <w:jc w:val="both"/>
        <w:rPr>
          <w:rFonts w:ascii="Calibri" w:eastAsia="Times New Roman" w:hAnsi="Calibri" w:cs="Calibri"/>
          <w:b/>
          <w:u w:val="single"/>
        </w:rPr>
      </w:pPr>
      <w:r w:rsidRPr="00901209">
        <w:rPr>
          <w:rFonts w:ascii="Calibri" w:eastAsia="Times New Roman" w:hAnsi="Calibri" w:cs="Calibri"/>
          <w:b/>
          <w:u w:val="single"/>
        </w:rPr>
        <w:t>BESE 8(g) Funded Program Summary</w:t>
      </w:r>
    </w:p>
    <w:p w14:paraId="19310339" w14:textId="77777777" w:rsidR="00901209" w:rsidRPr="00901209" w:rsidRDefault="00901209" w:rsidP="00901209">
      <w:pPr>
        <w:jc w:val="both"/>
        <w:rPr>
          <w:rFonts w:ascii="Calibri" w:eastAsia="Times New Roman" w:hAnsi="Calibri" w:cs="Calibri"/>
        </w:rPr>
      </w:pPr>
    </w:p>
    <w:p w14:paraId="085558C8" w14:textId="77777777" w:rsidR="00901209" w:rsidRPr="00901209" w:rsidRDefault="00901209" w:rsidP="00901209">
      <w:pPr>
        <w:jc w:val="both"/>
        <w:rPr>
          <w:rFonts w:ascii="Calibri" w:eastAsia="Times New Roman" w:hAnsi="Calibri" w:cs="Calibri"/>
          <w:b/>
        </w:rPr>
      </w:pPr>
      <w:r w:rsidRPr="00901209">
        <w:rPr>
          <w:rFonts w:ascii="Calibri" w:eastAsia="Times New Roman" w:hAnsi="Calibri" w:cs="Calibri"/>
          <w:b/>
        </w:rPr>
        <w:t>Total 2022-2023 Allocation:  $13,240,000</w:t>
      </w:r>
    </w:p>
    <w:p w14:paraId="4D3BB78A" w14:textId="77777777" w:rsidR="00901209" w:rsidRPr="00901209" w:rsidRDefault="00901209" w:rsidP="00901209">
      <w:pPr>
        <w:jc w:val="both"/>
        <w:rPr>
          <w:rFonts w:ascii="Calibri" w:eastAsia="Times New Roman" w:hAnsi="Calibri" w:cs="Calibri"/>
          <w:b/>
        </w:rPr>
      </w:pPr>
    </w:p>
    <w:p w14:paraId="06FCFC88" w14:textId="77777777" w:rsidR="00901209" w:rsidRPr="00901209" w:rsidRDefault="00901209" w:rsidP="00901209">
      <w:pPr>
        <w:jc w:val="both"/>
        <w:rPr>
          <w:rFonts w:ascii="Calibri" w:eastAsia="Times New Roman" w:hAnsi="Calibri" w:cs="Calibri"/>
        </w:rPr>
      </w:pPr>
      <w:r w:rsidRPr="00901209">
        <w:rPr>
          <w:rFonts w:ascii="Calibri" w:eastAsia="Times New Roman" w:hAnsi="Calibri" w:cs="Calibri"/>
        </w:rPr>
        <w:t xml:space="preserve">   125</w:t>
      </w:r>
      <w:r w:rsidRPr="00901209">
        <w:rPr>
          <w:rFonts w:ascii="Calibri" w:eastAsia="Times New Roman" w:hAnsi="Calibri" w:cs="Calibri"/>
        </w:rPr>
        <w:tab/>
        <w:t>Student Enhancement Block Grants</w:t>
      </w:r>
    </w:p>
    <w:p w14:paraId="3270A741" w14:textId="77777777" w:rsidR="00901209" w:rsidRPr="00901209" w:rsidRDefault="00901209" w:rsidP="00901209">
      <w:pPr>
        <w:jc w:val="both"/>
        <w:rPr>
          <w:rFonts w:ascii="Calibri" w:eastAsia="Times New Roman" w:hAnsi="Calibri" w:cs="Calibri"/>
        </w:rPr>
      </w:pPr>
      <w:r w:rsidRPr="00901209">
        <w:rPr>
          <w:rFonts w:ascii="Calibri" w:eastAsia="Times New Roman" w:hAnsi="Calibri" w:cs="Calibri"/>
        </w:rPr>
        <w:t xml:space="preserve">       7 </w:t>
      </w:r>
      <w:r w:rsidRPr="00901209">
        <w:rPr>
          <w:rFonts w:ascii="Calibri" w:eastAsia="Times New Roman" w:hAnsi="Calibri" w:cs="Calibri"/>
        </w:rPr>
        <w:tab/>
        <w:t>Statewide Program Grants</w:t>
      </w:r>
    </w:p>
    <w:p w14:paraId="26CD24C8" w14:textId="77777777" w:rsidR="00901209" w:rsidRPr="00901209" w:rsidRDefault="00901209" w:rsidP="00901209">
      <w:pPr>
        <w:jc w:val="both"/>
        <w:rPr>
          <w:rFonts w:ascii="Calibri" w:eastAsia="Times New Roman" w:hAnsi="Calibri" w:cs="Calibri"/>
        </w:rPr>
      </w:pPr>
    </w:p>
    <w:p w14:paraId="2708E107" w14:textId="77777777" w:rsidR="00901209" w:rsidRPr="00901209" w:rsidRDefault="00901209" w:rsidP="00901209">
      <w:pPr>
        <w:jc w:val="both"/>
        <w:rPr>
          <w:rFonts w:ascii="Calibri" w:eastAsia="Times New Roman" w:hAnsi="Calibri" w:cs="Calibri"/>
          <w:b/>
        </w:rPr>
      </w:pPr>
      <w:r w:rsidRPr="00901209">
        <w:rPr>
          <w:rFonts w:ascii="Calibri" w:eastAsia="Times New Roman" w:hAnsi="Calibri" w:cs="Calibri"/>
          <w:b/>
        </w:rPr>
        <w:t xml:space="preserve">   132 </w:t>
      </w:r>
      <w:r w:rsidRPr="00901209">
        <w:rPr>
          <w:rFonts w:ascii="Calibri" w:eastAsia="Times New Roman" w:hAnsi="Calibri" w:cs="Calibri"/>
          <w:b/>
        </w:rPr>
        <w:tab/>
        <w:t>Total Grants Funded</w:t>
      </w:r>
    </w:p>
    <w:p w14:paraId="1AAD9140" w14:textId="77777777" w:rsidR="00901209" w:rsidRPr="00901209" w:rsidRDefault="00901209" w:rsidP="00901209">
      <w:pPr>
        <w:jc w:val="both"/>
        <w:rPr>
          <w:rFonts w:ascii="Calibri" w:eastAsia="Times New Roman" w:hAnsi="Calibri" w:cs="Calibri"/>
          <w:b/>
        </w:rPr>
      </w:pPr>
    </w:p>
    <w:p w14:paraId="0FAA1793" w14:textId="77777777" w:rsidR="00901209" w:rsidRPr="00901209" w:rsidRDefault="00901209" w:rsidP="00901209">
      <w:pPr>
        <w:jc w:val="both"/>
        <w:rPr>
          <w:rFonts w:ascii="Calibri" w:eastAsia="Times New Roman" w:hAnsi="Calibri" w:cs="Calibri"/>
          <w:b/>
          <w:u w:val="single"/>
        </w:rPr>
      </w:pPr>
      <w:r w:rsidRPr="00901209">
        <w:rPr>
          <w:rFonts w:ascii="Calibri" w:eastAsia="Times New Roman" w:hAnsi="Calibri" w:cs="Calibri"/>
          <w:b/>
          <w:u w:val="single"/>
        </w:rPr>
        <w:t>Student Enhancement Block Project end of year evaluation Results</w:t>
      </w:r>
    </w:p>
    <w:p w14:paraId="0B571548" w14:textId="77777777" w:rsidR="00901209" w:rsidRPr="00901209" w:rsidRDefault="00901209" w:rsidP="00901209">
      <w:pPr>
        <w:jc w:val="both"/>
        <w:rPr>
          <w:rFonts w:ascii="Calibri" w:eastAsia="Times New Roman" w:hAnsi="Calibri" w:cs="Calibri"/>
        </w:rPr>
      </w:pPr>
    </w:p>
    <w:p w14:paraId="26D82B72" w14:textId="77777777" w:rsidR="00901209" w:rsidRPr="00901209" w:rsidRDefault="00901209" w:rsidP="00901209">
      <w:pPr>
        <w:jc w:val="both"/>
        <w:rPr>
          <w:rFonts w:ascii="Calibri" w:eastAsia="Times New Roman" w:hAnsi="Calibri" w:cs="Calibri"/>
        </w:rPr>
      </w:pPr>
      <w:r w:rsidRPr="00901209">
        <w:rPr>
          <w:rFonts w:ascii="Calibri" w:eastAsia="Times New Roman" w:hAnsi="Calibri" w:cs="Calibri"/>
        </w:rPr>
        <w:t xml:space="preserve">8(g) Program Evaluators conducted site visits and overall project evaluations for assigned projects, using forms and procedures prescribed by the BESE - 8(g) office. Projects were evaluated in six categories: </w:t>
      </w:r>
    </w:p>
    <w:p w14:paraId="4E078868" w14:textId="77777777" w:rsidR="00901209" w:rsidRPr="00901209" w:rsidRDefault="00901209" w:rsidP="00901209">
      <w:pPr>
        <w:numPr>
          <w:ilvl w:val="0"/>
          <w:numId w:val="16"/>
        </w:numPr>
        <w:jc w:val="both"/>
        <w:rPr>
          <w:rFonts w:ascii="Calibri" w:eastAsia="Times New Roman" w:hAnsi="Calibri" w:cs="Calibri"/>
        </w:rPr>
      </w:pPr>
      <w:proofErr w:type="gramStart"/>
      <w:r w:rsidRPr="00901209">
        <w:rPr>
          <w:rFonts w:ascii="Calibri" w:eastAsia="Times New Roman" w:hAnsi="Calibri" w:cs="Calibri"/>
        </w:rPr>
        <w:t>Purpose;</w:t>
      </w:r>
      <w:proofErr w:type="gramEnd"/>
      <w:r w:rsidRPr="00901209">
        <w:rPr>
          <w:rFonts w:ascii="Calibri" w:eastAsia="Times New Roman" w:hAnsi="Calibri" w:cs="Calibri"/>
        </w:rPr>
        <w:t xml:space="preserve"> </w:t>
      </w:r>
    </w:p>
    <w:p w14:paraId="1208EF60" w14:textId="77777777" w:rsidR="00901209" w:rsidRPr="00901209" w:rsidRDefault="00901209" w:rsidP="00901209">
      <w:pPr>
        <w:numPr>
          <w:ilvl w:val="0"/>
          <w:numId w:val="16"/>
        </w:numPr>
        <w:jc w:val="both"/>
        <w:rPr>
          <w:rFonts w:ascii="Calibri" w:eastAsia="Times New Roman" w:hAnsi="Calibri" w:cs="Calibri"/>
        </w:rPr>
      </w:pPr>
      <w:proofErr w:type="gramStart"/>
      <w:r w:rsidRPr="00901209">
        <w:rPr>
          <w:rFonts w:ascii="Calibri" w:eastAsia="Times New Roman" w:hAnsi="Calibri" w:cs="Calibri"/>
        </w:rPr>
        <w:t>Activities;</w:t>
      </w:r>
      <w:proofErr w:type="gramEnd"/>
      <w:r w:rsidRPr="00901209">
        <w:rPr>
          <w:rFonts w:ascii="Calibri" w:eastAsia="Times New Roman" w:hAnsi="Calibri" w:cs="Calibri"/>
        </w:rPr>
        <w:t xml:space="preserve"> </w:t>
      </w:r>
    </w:p>
    <w:p w14:paraId="7BD3F76F" w14:textId="77777777" w:rsidR="00901209" w:rsidRPr="00901209" w:rsidRDefault="00901209" w:rsidP="00901209">
      <w:pPr>
        <w:numPr>
          <w:ilvl w:val="0"/>
          <w:numId w:val="16"/>
        </w:numPr>
        <w:jc w:val="both"/>
        <w:rPr>
          <w:rFonts w:ascii="Calibri" w:eastAsia="Times New Roman" w:hAnsi="Calibri" w:cs="Calibri"/>
        </w:rPr>
      </w:pPr>
      <w:proofErr w:type="gramStart"/>
      <w:r w:rsidRPr="00901209">
        <w:rPr>
          <w:rFonts w:ascii="Calibri" w:eastAsia="Times New Roman" w:hAnsi="Calibri" w:cs="Calibri"/>
        </w:rPr>
        <w:t>Personnel;</w:t>
      </w:r>
      <w:proofErr w:type="gramEnd"/>
      <w:r w:rsidRPr="00901209">
        <w:rPr>
          <w:rFonts w:ascii="Calibri" w:eastAsia="Times New Roman" w:hAnsi="Calibri" w:cs="Calibri"/>
        </w:rPr>
        <w:t xml:space="preserve"> </w:t>
      </w:r>
    </w:p>
    <w:p w14:paraId="0DC85B0F" w14:textId="77777777" w:rsidR="00901209" w:rsidRPr="00901209" w:rsidRDefault="00901209" w:rsidP="00901209">
      <w:pPr>
        <w:numPr>
          <w:ilvl w:val="0"/>
          <w:numId w:val="16"/>
        </w:numPr>
        <w:jc w:val="both"/>
        <w:rPr>
          <w:rFonts w:ascii="Calibri" w:eastAsia="Times New Roman" w:hAnsi="Calibri" w:cs="Calibri"/>
        </w:rPr>
      </w:pPr>
      <w:proofErr w:type="gramStart"/>
      <w:r w:rsidRPr="00901209">
        <w:rPr>
          <w:rFonts w:ascii="Calibri" w:eastAsia="Times New Roman" w:hAnsi="Calibri" w:cs="Calibri"/>
        </w:rPr>
        <w:t>Resources;</w:t>
      </w:r>
      <w:proofErr w:type="gramEnd"/>
      <w:r w:rsidRPr="00901209">
        <w:rPr>
          <w:rFonts w:ascii="Calibri" w:eastAsia="Times New Roman" w:hAnsi="Calibri" w:cs="Calibri"/>
        </w:rPr>
        <w:t xml:space="preserve"> </w:t>
      </w:r>
    </w:p>
    <w:p w14:paraId="5A59FA22" w14:textId="77777777" w:rsidR="00901209" w:rsidRPr="00901209" w:rsidRDefault="00901209" w:rsidP="00901209">
      <w:pPr>
        <w:numPr>
          <w:ilvl w:val="0"/>
          <w:numId w:val="16"/>
        </w:numPr>
        <w:jc w:val="both"/>
        <w:rPr>
          <w:rFonts w:ascii="Calibri" w:eastAsia="Times New Roman" w:hAnsi="Calibri" w:cs="Calibri"/>
        </w:rPr>
      </w:pPr>
      <w:r w:rsidRPr="00901209">
        <w:rPr>
          <w:rFonts w:ascii="Calibri" w:eastAsia="Times New Roman" w:hAnsi="Calibri" w:cs="Calibri"/>
        </w:rPr>
        <w:t>Objectives and Evaluation; and</w:t>
      </w:r>
    </w:p>
    <w:p w14:paraId="48DDC038" w14:textId="77777777" w:rsidR="00901209" w:rsidRPr="00901209" w:rsidRDefault="00901209" w:rsidP="00901209">
      <w:pPr>
        <w:numPr>
          <w:ilvl w:val="0"/>
          <w:numId w:val="16"/>
        </w:numPr>
        <w:jc w:val="both"/>
        <w:rPr>
          <w:rFonts w:ascii="Calibri" w:eastAsia="Times New Roman" w:hAnsi="Calibri" w:cs="Calibri"/>
        </w:rPr>
      </w:pPr>
      <w:r w:rsidRPr="00901209">
        <w:rPr>
          <w:rFonts w:ascii="Calibri" w:eastAsia="Times New Roman" w:hAnsi="Calibri" w:cs="Calibri"/>
        </w:rPr>
        <w:t xml:space="preserve">Results. </w:t>
      </w:r>
    </w:p>
    <w:p w14:paraId="7E240453" w14:textId="77777777" w:rsidR="00901209" w:rsidRPr="00901209" w:rsidRDefault="00901209" w:rsidP="00901209">
      <w:pPr>
        <w:ind w:left="360"/>
        <w:jc w:val="both"/>
        <w:rPr>
          <w:rFonts w:ascii="Calibri" w:eastAsia="Times New Roman" w:hAnsi="Calibri" w:cs="Calibri"/>
        </w:rPr>
      </w:pPr>
    </w:p>
    <w:p w14:paraId="46C6D824" w14:textId="77777777" w:rsidR="00901209" w:rsidRPr="00901209" w:rsidRDefault="00901209" w:rsidP="00901209">
      <w:pPr>
        <w:jc w:val="both"/>
        <w:rPr>
          <w:rFonts w:ascii="Calibri" w:eastAsia="Times New Roman" w:hAnsi="Calibri" w:cs="Calibri"/>
        </w:rPr>
      </w:pPr>
      <w:r w:rsidRPr="00901209">
        <w:rPr>
          <w:rFonts w:ascii="Calibri" w:eastAsia="Times New Roman" w:hAnsi="Calibri" w:cs="Calibri"/>
        </w:rPr>
        <w:t>All projects submit an End of Year Report of results to the BESE - 8(g) office. After reviewing the End of Year Reports, program evaluators assign final evaluation scores out of a possible 150 points.</w:t>
      </w:r>
    </w:p>
    <w:p w14:paraId="555EBDCF" w14:textId="77777777" w:rsidR="00901209" w:rsidRPr="00901209" w:rsidRDefault="00901209" w:rsidP="00901209">
      <w:pPr>
        <w:jc w:val="both"/>
        <w:rPr>
          <w:rFonts w:ascii="Calibri" w:eastAsia="Times New Roman" w:hAnsi="Calibri" w:cs="Calibri"/>
        </w:rPr>
      </w:pPr>
    </w:p>
    <w:p w14:paraId="2EA49B25" w14:textId="77777777" w:rsidR="00901209" w:rsidRPr="00901209" w:rsidRDefault="00901209" w:rsidP="00901209">
      <w:pPr>
        <w:jc w:val="both"/>
        <w:rPr>
          <w:rFonts w:ascii="Calibri" w:eastAsia="Times New Roman" w:hAnsi="Calibri" w:cs="Calibri"/>
        </w:rPr>
      </w:pPr>
      <w:r w:rsidRPr="00901209">
        <w:rPr>
          <w:rFonts w:ascii="Calibri" w:eastAsia="Times New Roman" w:hAnsi="Calibri" w:cs="Calibri"/>
        </w:rPr>
        <w:lastRenderedPageBreak/>
        <w:t xml:space="preserve">Block projects receiving a final evaluation score of below 100 for two consecutive years are ineligible to receive continued funding. For projects scoring below 100, the agency is required to submit a written explanation of implementation problems and a plan for corrective action. </w:t>
      </w:r>
    </w:p>
    <w:p w14:paraId="7BE0B853" w14:textId="77777777" w:rsidR="00901209" w:rsidRPr="00901209" w:rsidRDefault="00901209" w:rsidP="00901209">
      <w:pPr>
        <w:jc w:val="both"/>
        <w:rPr>
          <w:rFonts w:ascii="Calibri" w:eastAsia="Times New Roman" w:hAnsi="Calibri" w:cs="Calibri"/>
        </w:rPr>
      </w:pPr>
    </w:p>
    <w:p w14:paraId="770C38D7" w14:textId="77777777" w:rsidR="00901209" w:rsidRPr="00901209" w:rsidRDefault="00901209" w:rsidP="00901209">
      <w:pPr>
        <w:jc w:val="both"/>
        <w:rPr>
          <w:rFonts w:ascii="Calibri" w:eastAsia="Times New Roman" w:hAnsi="Calibri" w:cs="Calibri"/>
          <w:b/>
          <w:u w:val="single"/>
        </w:rPr>
      </w:pPr>
    </w:p>
    <w:p w14:paraId="2AED9781" w14:textId="77777777" w:rsidR="00901209" w:rsidRPr="00901209" w:rsidRDefault="00901209" w:rsidP="00901209">
      <w:pPr>
        <w:jc w:val="both"/>
        <w:rPr>
          <w:rFonts w:ascii="Calibri" w:eastAsia="Times New Roman" w:hAnsi="Calibri" w:cs="Calibri"/>
          <w:b/>
          <w:u w:val="single"/>
        </w:rPr>
      </w:pPr>
      <w:r w:rsidRPr="00901209">
        <w:rPr>
          <w:rFonts w:ascii="Calibri" w:eastAsia="Times New Roman" w:hAnsi="Calibri" w:cs="Calibri"/>
          <w:b/>
          <w:u w:val="single"/>
        </w:rPr>
        <w:t>Statewide Program end of year evaluation Results</w:t>
      </w:r>
    </w:p>
    <w:p w14:paraId="77D9EC07" w14:textId="77777777" w:rsidR="00901209" w:rsidRPr="00901209" w:rsidRDefault="00901209" w:rsidP="00901209">
      <w:pPr>
        <w:jc w:val="both"/>
        <w:rPr>
          <w:rFonts w:ascii="Calibri" w:eastAsia="Times New Roman" w:hAnsi="Calibri" w:cs="Calibri"/>
        </w:rPr>
      </w:pPr>
    </w:p>
    <w:p w14:paraId="7E40C346" w14:textId="77777777" w:rsidR="00901209" w:rsidRPr="00901209" w:rsidRDefault="00901209" w:rsidP="00901209">
      <w:pPr>
        <w:jc w:val="both"/>
        <w:rPr>
          <w:rFonts w:ascii="Calibri" w:eastAsia="Times New Roman" w:hAnsi="Calibri" w:cs="Calibri"/>
        </w:rPr>
      </w:pPr>
      <w:r w:rsidRPr="00901209">
        <w:rPr>
          <w:rFonts w:ascii="Calibri" w:eastAsia="Times New Roman" w:hAnsi="Calibri" w:cs="Calibri"/>
        </w:rPr>
        <w:t>Each project submits an End of Year Report regarding results to the BESE - 8(g) office, detailing the regions served, as well as the number of participating school districts, public, and nonpublic schools.</w:t>
      </w:r>
    </w:p>
    <w:p w14:paraId="159042A7" w14:textId="77777777" w:rsidR="00901209" w:rsidRPr="00901209" w:rsidRDefault="00901209" w:rsidP="00901209">
      <w:pPr>
        <w:jc w:val="both"/>
        <w:rPr>
          <w:rFonts w:ascii="Calibri" w:eastAsia="Times New Roman" w:hAnsi="Calibri" w:cs="Calibri"/>
        </w:rPr>
      </w:pPr>
    </w:p>
    <w:p w14:paraId="5A59BBA3" w14:textId="77777777" w:rsidR="00901209" w:rsidRPr="00901209" w:rsidRDefault="00901209" w:rsidP="00901209">
      <w:pPr>
        <w:jc w:val="both"/>
        <w:rPr>
          <w:rFonts w:ascii="Calibri" w:eastAsia="Times New Roman" w:hAnsi="Calibri" w:cs="Calibri"/>
        </w:rPr>
      </w:pPr>
      <w:r w:rsidRPr="00901209">
        <w:rPr>
          <w:rFonts w:ascii="Calibri" w:eastAsia="Times New Roman" w:hAnsi="Calibri" w:cs="Calibri"/>
        </w:rPr>
        <w:t xml:space="preserve">8(g) Program Evaluators conduct site visits and overall program evaluations for assigned programs using forms and procedures prescribed by the BESE - 8(g) Office. </w:t>
      </w:r>
    </w:p>
    <w:p w14:paraId="3F80342E" w14:textId="77777777" w:rsidR="00901209" w:rsidRPr="00901209" w:rsidRDefault="00901209" w:rsidP="00901209">
      <w:pPr>
        <w:jc w:val="both"/>
        <w:rPr>
          <w:rFonts w:ascii="Calibri" w:eastAsia="Times New Roman" w:hAnsi="Calibri" w:cs="Calibri"/>
        </w:rPr>
      </w:pPr>
      <w:r w:rsidRPr="00901209">
        <w:rPr>
          <w:rFonts w:ascii="Calibri" w:eastAsia="Times New Roman" w:hAnsi="Calibri" w:cs="Calibri"/>
        </w:rPr>
        <w:t xml:space="preserve">Programs are evaluated in six categories: </w:t>
      </w:r>
    </w:p>
    <w:p w14:paraId="345EABFE" w14:textId="77777777" w:rsidR="00901209" w:rsidRPr="00901209" w:rsidRDefault="00901209" w:rsidP="00901209">
      <w:pPr>
        <w:jc w:val="both"/>
        <w:rPr>
          <w:rFonts w:ascii="Calibri" w:eastAsia="Times New Roman" w:hAnsi="Calibri" w:cs="Calibri"/>
        </w:rPr>
      </w:pPr>
    </w:p>
    <w:p w14:paraId="2EF8FC9A" w14:textId="77777777" w:rsidR="00901209" w:rsidRPr="00901209" w:rsidRDefault="00901209" w:rsidP="00901209">
      <w:pPr>
        <w:numPr>
          <w:ilvl w:val="0"/>
          <w:numId w:val="17"/>
        </w:numPr>
        <w:jc w:val="both"/>
        <w:rPr>
          <w:rFonts w:ascii="Calibri" w:eastAsia="Times New Roman" w:hAnsi="Calibri" w:cs="Calibri"/>
        </w:rPr>
      </w:pPr>
      <w:proofErr w:type="gramStart"/>
      <w:r w:rsidRPr="00901209">
        <w:rPr>
          <w:rFonts w:ascii="Calibri" w:eastAsia="Times New Roman" w:hAnsi="Calibri" w:cs="Calibri"/>
        </w:rPr>
        <w:t>Participants;</w:t>
      </w:r>
      <w:proofErr w:type="gramEnd"/>
      <w:r w:rsidRPr="00901209">
        <w:rPr>
          <w:rFonts w:ascii="Calibri" w:eastAsia="Times New Roman" w:hAnsi="Calibri" w:cs="Calibri"/>
        </w:rPr>
        <w:t xml:space="preserve"> </w:t>
      </w:r>
    </w:p>
    <w:p w14:paraId="20FF64CE" w14:textId="77777777" w:rsidR="00901209" w:rsidRPr="00901209" w:rsidRDefault="00901209" w:rsidP="00901209">
      <w:pPr>
        <w:numPr>
          <w:ilvl w:val="0"/>
          <w:numId w:val="17"/>
        </w:numPr>
        <w:jc w:val="both"/>
        <w:rPr>
          <w:rFonts w:ascii="Calibri" w:eastAsia="Times New Roman" w:hAnsi="Calibri" w:cs="Calibri"/>
        </w:rPr>
      </w:pPr>
      <w:proofErr w:type="gramStart"/>
      <w:r w:rsidRPr="00901209">
        <w:rPr>
          <w:rFonts w:ascii="Calibri" w:eastAsia="Times New Roman" w:hAnsi="Calibri" w:cs="Calibri"/>
        </w:rPr>
        <w:t>Personnel;</w:t>
      </w:r>
      <w:proofErr w:type="gramEnd"/>
      <w:r w:rsidRPr="00901209">
        <w:rPr>
          <w:rFonts w:ascii="Calibri" w:eastAsia="Times New Roman" w:hAnsi="Calibri" w:cs="Calibri"/>
        </w:rPr>
        <w:t xml:space="preserve"> </w:t>
      </w:r>
    </w:p>
    <w:p w14:paraId="00CB09E8" w14:textId="77777777" w:rsidR="00901209" w:rsidRPr="00901209" w:rsidRDefault="00901209" w:rsidP="00901209">
      <w:pPr>
        <w:numPr>
          <w:ilvl w:val="0"/>
          <w:numId w:val="17"/>
        </w:numPr>
        <w:jc w:val="both"/>
        <w:rPr>
          <w:rFonts w:ascii="Calibri" w:eastAsia="Times New Roman" w:hAnsi="Calibri" w:cs="Calibri"/>
        </w:rPr>
      </w:pPr>
      <w:proofErr w:type="gramStart"/>
      <w:r w:rsidRPr="00901209">
        <w:rPr>
          <w:rFonts w:ascii="Calibri" w:eastAsia="Times New Roman" w:hAnsi="Calibri" w:cs="Calibri"/>
        </w:rPr>
        <w:t>Activities;</w:t>
      </w:r>
      <w:proofErr w:type="gramEnd"/>
      <w:r w:rsidRPr="00901209">
        <w:rPr>
          <w:rFonts w:ascii="Calibri" w:eastAsia="Times New Roman" w:hAnsi="Calibri" w:cs="Calibri"/>
        </w:rPr>
        <w:t xml:space="preserve"> </w:t>
      </w:r>
    </w:p>
    <w:p w14:paraId="0847BF4F" w14:textId="77777777" w:rsidR="00901209" w:rsidRPr="00901209" w:rsidRDefault="00901209" w:rsidP="00901209">
      <w:pPr>
        <w:numPr>
          <w:ilvl w:val="0"/>
          <w:numId w:val="17"/>
        </w:numPr>
        <w:jc w:val="both"/>
        <w:rPr>
          <w:rFonts w:ascii="Calibri" w:eastAsia="Times New Roman" w:hAnsi="Calibri" w:cs="Calibri"/>
        </w:rPr>
      </w:pPr>
      <w:r w:rsidRPr="00901209">
        <w:rPr>
          <w:rFonts w:ascii="Calibri" w:eastAsia="Times New Roman" w:hAnsi="Calibri" w:cs="Calibri"/>
        </w:rPr>
        <w:t xml:space="preserve">Constitutional </w:t>
      </w:r>
      <w:proofErr w:type="gramStart"/>
      <w:r w:rsidRPr="00901209">
        <w:rPr>
          <w:rFonts w:ascii="Calibri" w:eastAsia="Times New Roman" w:hAnsi="Calibri" w:cs="Calibri"/>
        </w:rPr>
        <w:t>Category;</w:t>
      </w:r>
      <w:proofErr w:type="gramEnd"/>
      <w:r w:rsidRPr="00901209">
        <w:rPr>
          <w:rFonts w:ascii="Calibri" w:eastAsia="Times New Roman" w:hAnsi="Calibri" w:cs="Calibri"/>
        </w:rPr>
        <w:t xml:space="preserve"> </w:t>
      </w:r>
    </w:p>
    <w:p w14:paraId="4382EBC1" w14:textId="77777777" w:rsidR="00901209" w:rsidRPr="00901209" w:rsidRDefault="00901209" w:rsidP="00901209">
      <w:pPr>
        <w:numPr>
          <w:ilvl w:val="0"/>
          <w:numId w:val="17"/>
        </w:numPr>
        <w:jc w:val="both"/>
        <w:rPr>
          <w:rFonts w:ascii="Calibri" w:eastAsia="Times New Roman" w:hAnsi="Calibri" w:cs="Calibri"/>
        </w:rPr>
      </w:pPr>
      <w:r w:rsidRPr="00901209">
        <w:rPr>
          <w:rFonts w:ascii="Calibri" w:eastAsia="Times New Roman" w:hAnsi="Calibri" w:cs="Calibri"/>
        </w:rPr>
        <w:t xml:space="preserve">Objectives and Evaluation; and </w:t>
      </w:r>
    </w:p>
    <w:p w14:paraId="109B16FB" w14:textId="77777777" w:rsidR="00901209" w:rsidRPr="00901209" w:rsidRDefault="00901209" w:rsidP="00901209">
      <w:pPr>
        <w:numPr>
          <w:ilvl w:val="0"/>
          <w:numId w:val="17"/>
        </w:numPr>
        <w:jc w:val="both"/>
        <w:rPr>
          <w:rFonts w:ascii="Calibri" w:eastAsia="Times New Roman" w:hAnsi="Calibri" w:cs="Calibri"/>
        </w:rPr>
      </w:pPr>
      <w:r w:rsidRPr="00901209">
        <w:rPr>
          <w:rFonts w:ascii="Calibri" w:eastAsia="Times New Roman" w:hAnsi="Calibri" w:cs="Calibri"/>
        </w:rPr>
        <w:t xml:space="preserve">Results. </w:t>
      </w:r>
    </w:p>
    <w:p w14:paraId="28CD5E79" w14:textId="77777777" w:rsidR="00901209" w:rsidRPr="00901209" w:rsidRDefault="00901209" w:rsidP="00901209">
      <w:pPr>
        <w:jc w:val="both"/>
        <w:rPr>
          <w:rFonts w:ascii="Calibri" w:eastAsia="Times New Roman" w:hAnsi="Calibri" w:cs="Calibri"/>
        </w:rPr>
      </w:pPr>
    </w:p>
    <w:p w14:paraId="69ADFFC7" w14:textId="77777777" w:rsidR="00901209" w:rsidRPr="00901209" w:rsidRDefault="00901209" w:rsidP="00901209">
      <w:pPr>
        <w:jc w:val="both"/>
        <w:rPr>
          <w:rFonts w:ascii="Calibri" w:eastAsia="Times New Roman" w:hAnsi="Calibri" w:cs="Calibri"/>
        </w:rPr>
      </w:pPr>
      <w:r w:rsidRPr="00901209">
        <w:rPr>
          <w:rFonts w:ascii="Calibri" w:eastAsia="Times New Roman" w:hAnsi="Calibri" w:cs="Calibri"/>
        </w:rPr>
        <w:t>After reviewing the End of Year Reports, Program Evaluators assign final evaluation scores with a maximum of 150 points possible. Evaluators also offer program observations and recommendations based on the overall evaluation of the programs.</w:t>
      </w:r>
    </w:p>
    <w:p w14:paraId="30471C91" w14:textId="77777777" w:rsidR="007B48F3" w:rsidRPr="007B48F3" w:rsidRDefault="007B48F3" w:rsidP="007B48F3">
      <w:pPr>
        <w:jc w:val="both"/>
        <w:rPr>
          <w:rFonts w:ascii="Calibri" w:eastAsia="Times New Roman" w:hAnsi="Calibri" w:cs="Calibri"/>
        </w:rPr>
      </w:pPr>
      <w:r w:rsidRPr="007B48F3">
        <w:rPr>
          <w:rFonts w:ascii="Calibri" w:eastAsia="Times New Roman" w:hAnsi="Calibri" w:cs="Calibri"/>
        </w:rPr>
        <w:tab/>
      </w:r>
    </w:p>
    <w:p w14:paraId="331FAF82" w14:textId="77777777" w:rsidR="007B48F3" w:rsidRPr="007B48F3" w:rsidRDefault="007B48F3" w:rsidP="007B48F3">
      <w:pPr>
        <w:jc w:val="both"/>
        <w:rPr>
          <w:rFonts w:ascii="Calibri" w:eastAsia="Times New Roman" w:hAnsi="Calibri" w:cs="Calibri"/>
        </w:rPr>
      </w:pPr>
    </w:p>
    <w:p w14:paraId="619CD6FB" w14:textId="77777777" w:rsidR="007B48F3" w:rsidRDefault="007B48F3">
      <w:pPr>
        <w:rPr>
          <w:rFonts w:ascii="Times New Roman" w:eastAsia="MS Mincho" w:hAnsi="Times New Roman" w:cs="Times New Roman"/>
          <w:b/>
          <w:sz w:val="36"/>
          <w:szCs w:val="36"/>
        </w:rPr>
      </w:pPr>
      <w:r>
        <w:rPr>
          <w:rFonts w:ascii="Times New Roman" w:eastAsia="MS Mincho" w:hAnsi="Times New Roman" w:cs="Times New Roman"/>
          <w:b/>
          <w:sz w:val="36"/>
          <w:szCs w:val="36"/>
        </w:rPr>
        <w:br w:type="page"/>
      </w:r>
    </w:p>
    <w:p w14:paraId="58F04355" w14:textId="77777777" w:rsidR="007B48F3" w:rsidRPr="007B48F3" w:rsidRDefault="007B48F3" w:rsidP="007B48F3">
      <w:pPr>
        <w:jc w:val="center"/>
        <w:outlineLvl w:val="0"/>
        <w:rPr>
          <w:rFonts w:cs="Times New Roman"/>
          <w:b/>
          <w:sz w:val="32"/>
          <w:szCs w:val="32"/>
        </w:rPr>
      </w:pPr>
      <w:r w:rsidRPr="007B48F3">
        <w:rPr>
          <w:rFonts w:cs="Times New Roman"/>
          <w:b/>
          <w:sz w:val="32"/>
          <w:szCs w:val="32"/>
        </w:rPr>
        <w:lastRenderedPageBreak/>
        <w:t>Board of Regents Support Fund Overview</w:t>
      </w:r>
    </w:p>
    <w:p w14:paraId="14540027" w14:textId="6FF6F5EA" w:rsidR="007B48F3" w:rsidRPr="007B48F3" w:rsidRDefault="007B48F3" w:rsidP="007B48F3">
      <w:pPr>
        <w:jc w:val="center"/>
        <w:outlineLvl w:val="0"/>
        <w:rPr>
          <w:rFonts w:cs="Times New Roman"/>
          <w:b/>
          <w:sz w:val="32"/>
          <w:szCs w:val="32"/>
        </w:rPr>
      </w:pPr>
      <w:r w:rsidRPr="007B48F3">
        <w:rPr>
          <w:rFonts w:cs="Times New Roman"/>
          <w:b/>
          <w:sz w:val="32"/>
          <w:szCs w:val="32"/>
        </w:rPr>
        <w:t>Funded Programs and Investments, 1987-</w:t>
      </w:r>
      <w:r w:rsidR="00B42A3A" w:rsidRPr="007B48F3">
        <w:rPr>
          <w:rFonts w:cs="Times New Roman"/>
          <w:b/>
          <w:sz w:val="32"/>
          <w:szCs w:val="32"/>
        </w:rPr>
        <w:t>202</w:t>
      </w:r>
      <w:r w:rsidR="00B42A3A">
        <w:rPr>
          <w:rFonts w:cs="Times New Roman"/>
          <w:b/>
          <w:sz w:val="32"/>
          <w:szCs w:val="32"/>
        </w:rPr>
        <w:t>3</w:t>
      </w:r>
    </w:p>
    <w:p w14:paraId="75969DB3" w14:textId="77777777" w:rsidR="007B48F3" w:rsidRPr="007B48F3" w:rsidRDefault="007B48F3" w:rsidP="007B48F3">
      <w:pPr>
        <w:rPr>
          <w:rFonts w:cs="Times New Roman"/>
        </w:rPr>
      </w:pPr>
    </w:p>
    <w:p w14:paraId="4A0D68BE" w14:textId="75DD99E7" w:rsidR="00A73E80" w:rsidRDefault="00A73E80" w:rsidP="007B48F3">
      <w:pPr>
        <w:jc w:val="both"/>
        <w:rPr>
          <w:rFonts w:cs="Times New Roman"/>
        </w:rPr>
      </w:pPr>
    </w:p>
    <w:p w14:paraId="2DC340A6" w14:textId="77777777" w:rsidR="00A73E80" w:rsidRDefault="00A73E80" w:rsidP="007B48F3">
      <w:pPr>
        <w:jc w:val="both"/>
        <w:rPr>
          <w:rFonts w:cs="Times New Roman"/>
        </w:rPr>
      </w:pPr>
    </w:p>
    <w:p w14:paraId="0AB3D9FB" w14:textId="77777777" w:rsidR="00A73E80" w:rsidRPr="00F84C09" w:rsidRDefault="007B48F3" w:rsidP="00A73E80">
      <w:pPr>
        <w:rPr>
          <w:rFonts w:ascii="Times New Roman" w:hAnsi="Times New Roman" w:cs="Times New Roman"/>
          <w:b/>
          <w:u w:val="single"/>
        </w:rPr>
      </w:pPr>
      <w:commentRangeStart w:id="9"/>
      <w:r w:rsidRPr="007B48F3">
        <w:rPr>
          <w:rFonts w:cs="Times New Roman"/>
        </w:rPr>
        <w:t xml:space="preserve"> </w:t>
      </w:r>
      <w:commentRangeEnd w:id="9"/>
      <w:r w:rsidR="004C1F3A">
        <w:rPr>
          <w:rStyle w:val="CommentReference"/>
        </w:rPr>
        <w:commentReference w:id="9"/>
      </w:r>
      <w:r w:rsidR="00A73E80" w:rsidRPr="00F84C09">
        <w:rPr>
          <w:rFonts w:ascii="Times New Roman" w:hAnsi="Times New Roman" w:cs="Times New Roman"/>
          <w:b/>
          <w:u w:val="single"/>
        </w:rPr>
        <w:t>Overview</w:t>
      </w:r>
    </w:p>
    <w:p w14:paraId="30BE29EE" w14:textId="77777777" w:rsidR="00A73E80" w:rsidRPr="00F84C09" w:rsidRDefault="00A73E80" w:rsidP="00A73E80">
      <w:pPr>
        <w:rPr>
          <w:rFonts w:ascii="Times New Roman" w:hAnsi="Times New Roman" w:cs="Times New Roman"/>
        </w:rPr>
      </w:pPr>
    </w:p>
    <w:p w14:paraId="0A5B6EB3" w14:textId="77777777" w:rsidR="00A73E80" w:rsidRPr="00F84C09" w:rsidRDefault="00A73E80" w:rsidP="00A73E80">
      <w:pPr>
        <w:rPr>
          <w:rFonts w:ascii="Times New Roman" w:hAnsi="Times New Roman" w:cs="Times New Roman"/>
        </w:rPr>
      </w:pPr>
      <w:r>
        <w:rPr>
          <w:rFonts w:ascii="Times New Roman" w:hAnsi="Times New Roman" w:cs="Times New Roman"/>
        </w:rPr>
        <w:t>Over 36 years, the</w:t>
      </w:r>
      <w:r w:rsidRPr="00F84C09">
        <w:rPr>
          <w:rFonts w:ascii="Times New Roman" w:hAnsi="Times New Roman" w:cs="Times New Roman"/>
        </w:rPr>
        <w:t xml:space="preserve"> Board of Regents Support Fund (</w:t>
      </w:r>
      <w:proofErr w:type="spellStart"/>
      <w:r w:rsidRPr="00F84C09">
        <w:rPr>
          <w:rFonts w:ascii="Times New Roman" w:hAnsi="Times New Roman" w:cs="Times New Roman"/>
        </w:rPr>
        <w:t>BoRSF</w:t>
      </w:r>
      <w:proofErr w:type="spellEnd"/>
      <w:r w:rsidRPr="00F84C09">
        <w:rPr>
          <w:rFonts w:ascii="Times New Roman" w:hAnsi="Times New Roman" w:cs="Times New Roman"/>
        </w:rPr>
        <w:t xml:space="preserve">) has provided </w:t>
      </w:r>
      <w:r>
        <w:rPr>
          <w:rFonts w:ascii="Times New Roman" w:hAnsi="Times New Roman" w:cs="Times New Roman"/>
        </w:rPr>
        <w:t xml:space="preserve">more </w:t>
      </w:r>
      <w:r w:rsidRPr="00205CCC">
        <w:rPr>
          <w:rFonts w:ascii="Times New Roman" w:hAnsi="Times New Roman" w:cs="Times New Roman"/>
        </w:rPr>
        <w:t>than $980 million to public and independent campuses across Louisiana to meet its twin goals of enhancing the quality of postsecondary education and fostering economic development. Four constitutionally mandated strategies</w:t>
      </w:r>
      <w:r>
        <w:rPr>
          <w:rFonts w:ascii="Times New Roman" w:hAnsi="Times New Roman" w:cs="Times New Roman"/>
        </w:rPr>
        <w:t xml:space="preserve"> govern the allocation and expenditure of </w:t>
      </w:r>
      <w:proofErr w:type="spellStart"/>
      <w:r>
        <w:rPr>
          <w:rFonts w:ascii="Times New Roman" w:hAnsi="Times New Roman" w:cs="Times New Roman"/>
        </w:rPr>
        <w:t>BoRSF</w:t>
      </w:r>
      <w:proofErr w:type="spellEnd"/>
      <w:r>
        <w:rPr>
          <w:rFonts w:ascii="Times New Roman" w:hAnsi="Times New Roman" w:cs="Times New Roman"/>
        </w:rPr>
        <w:t xml:space="preserve"> funds</w:t>
      </w:r>
      <w:r w:rsidRPr="00F84C09">
        <w:rPr>
          <w:rFonts w:ascii="Times New Roman" w:hAnsi="Times New Roman" w:cs="Times New Roman"/>
        </w:rPr>
        <w:t>: enhancement of academic</w:t>
      </w:r>
      <w:r>
        <w:rPr>
          <w:rFonts w:ascii="Times New Roman" w:hAnsi="Times New Roman" w:cs="Times New Roman"/>
        </w:rPr>
        <w:t>, research and agricultural</w:t>
      </w:r>
      <w:r w:rsidRPr="00F84C09">
        <w:rPr>
          <w:rFonts w:ascii="Times New Roman" w:hAnsi="Times New Roman" w:cs="Times New Roman"/>
        </w:rPr>
        <w:t xml:space="preserve"> </w:t>
      </w:r>
      <w:r>
        <w:rPr>
          <w:rFonts w:ascii="Times New Roman" w:hAnsi="Times New Roman" w:cs="Times New Roman"/>
        </w:rPr>
        <w:t>departments and units;</w:t>
      </w:r>
      <w:r w:rsidRPr="00F84C09">
        <w:rPr>
          <w:rFonts w:ascii="Times New Roman" w:hAnsi="Times New Roman" w:cs="Times New Roman"/>
        </w:rPr>
        <w:t xml:space="preserve"> car</w:t>
      </w:r>
      <w:r>
        <w:rPr>
          <w:rFonts w:ascii="Times New Roman" w:hAnsi="Times New Roman" w:cs="Times New Roman"/>
        </w:rPr>
        <w:t>efully defined research efforts;</w:t>
      </w:r>
      <w:r w:rsidRPr="00F84C09">
        <w:rPr>
          <w:rFonts w:ascii="Times New Roman" w:hAnsi="Times New Roman" w:cs="Times New Roman"/>
        </w:rPr>
        <w:t xml:space="preserve"> endowment of chairs for eminent scholars</w:t>
      </w:r>
      <w:r>
        <w:rPr>
          <w:rFonts w:ascii="Times New Roman" w:hAnsi="Times New Roman" w:cs="Times New Roman"/>
        </w:rPr>
        <w:t>;</w:t>
      </w:r>
      <w:r w:rsidRPr="00F84C09">
        <w:rPr>
          <w:rFonts w:ascii="Times New Roman" w:hAnsi="Times New Roman" w:cs="Times New Roman"/>
        </w:rPr>
        <w:t xml:space="preserve"> and recruitment of superior graduate students. Currently </w:t>
      </w:r>
      <w:r>
        <w:rPr>
          <w:rFonts w:ascii="Times New Roman" w:hAnsi="Times New Roman" w:cs="Times New Roman"/>
        </w:rPr>
        <w:t xml:space="preserve">44 public and private postsecondary </w:t>
      </w:r>
      <w:r w:rsidRPr="00F84C09">
        <w:rPr>
          <w:rFonts w:ascii="Times New Roman" w:hAnsi="Times New Roman" w:cs="Times New Roman"/>
        </w:rPr>
        <w:t>campuses are eligibl</w:t>
      </w:r>
      <w:r>
        <w:rPr>
          <w:rFonts w:ascii="Times New Roman" w:hAnsi="Times New Roman" w:cs="Times New Roman"/>
        </w:rPr>
        <w:t xml:space="preserve">e to compete for funding, and almost all have </w:t>
      </w:r>
      <w:r w:rsidRPr="00F84C09">
        <w:rPr>
          <w:rFonts w:ascii="Times New Roman" w:hAnsi="Times New Roman" w:cs="Times New Roman"/>
        </w:rPr>
        <w:t xml:space="preserve">received </w:t>
      </w:r>
      <w:proofErr w:type="spellStart"/>
      <w:r w:rsidRPr="00F84C09">
        <w:rPr>
          <w:rFonts w:ascii="Times New Roman" w:hAnsi="Times New Roman" w:cs="Times New Roman"/>
        </w:rPr>
        <w:t>BoRSF</w:t>
      </w:r>
      <w:proofErr w:type="spellEnd"/>
      <w:r w:rsidRPr="00F84C09">
        <w:rPr>
          <w:rFonts w:ascii="Times New Roman" w:hAnsi="Times New Roman" w:cs="Times New Roman"/>
        </w:rPr>
        <w:t xml:space="preserve"> support</w:t>
      </w:r>
      <w:r>
        <w:rPr>
          <w:rFonts w:ascii="Times New Roman" w:hAnsi="Times New Roman" w:cs="Times New Roman"/>
        </w:rPr>
        <w:t xml:space="preserve"> through one or more of its programs</w:t>
      </w:r>
      <w:r w:rsidRPr="00F84C09">
        <w:rPr>
          <w:rFonts w:ascii="Times New Roman" w:hAnsi="Times New Roman" w:cs="Times New Roman"/>
        </w:rPr>
        <w:t>.</w:t>
      </w:r>
    </w:p>
    <w:p w14:paraId="70B27755" w14:textId="77777777" w:rsidR="00A73E80" w:rsidRPr="00F84C09" w:rsidRDefault="00A73E80" w:rsidP="00A73E80">
      <w:pPr>
        <w:rPr>
          <w:rFonts w:ascii="Times New Roman" w:hAnsi="Times New Roman" w:cs="Times New Roman"/>
          <w:u w:val="single"/>
        </w:rPr>
      </w:pPr>
    </w:p>
    <w:p w14:paraId="0998DB76" w14:textId="77777777" w:rsidR="00A73E80" w:rsidRPr="00FD73BF" w:rsidRDefault="00A73E80" w:rsidP="00A73E80">
      <w:pPr>
        <w:rPr>
          <w:rFonts w:ascii="Times New Roman" w:hAnsi="Times New Roman" w:cs="Times New Roman"/>
          <w:b/>
          <w:u w:val="single"/>
        </w:rPr>
      </w:pPr>
      <w:r w:rsidRPr="00FD73BF">
        <w:rPr>
          <w:rFonts w:ascii="Times New Roman" w:hAnsi="Times New Roman" w:cs="Times New Roman"/>
          <w:b/>
          <w:u w:val="single"/>
        </w:rPr>
        <w:t>Statewide Results</w:t>
      </w:r>
    </w:p>
    <w:p w14:paraId="482800C7" w14:textId="77777777" w:rsidR="00A73E80" w:rsidRPr="00FD73BF" w:rsidRDefault="00A73E80" w:rsidP="00A73E80">
      <w:pPr>
        <w:rPr>
          <w:rFonts w:ascii="Times New Roman" w:hAnsi="Times New Roman" w:cs="Times New Roman"/>
        </w:rPr>
      </w:pPr>
    </w:p>
    <w:p w14:paraId="41B2B400" w14:textId="77777777" w:rsidR="00A73E80" w:rsidRDefault="00A73E80" w:rsidP="00A73E80">
      <w:pPr>
        <w:pStyle w:val="ListParagraph"/>
        <w:numPr>
          <w:ilvl w:val="0"/>
          <w:numId w:val="9"/>
        </w:numPr>
        <w:ind w:left="360" w:hanging="270"/>
        <w:rPr>
          <w:rFonts w:ascii="Times New Roman" w:hAnsi="Times New Roman" w:cs="Times New Roman"/>
        </w:rPr>
      </w:pPr>
      <w:proofErr w:type="spellStart"/>
      <w:r>
        <w:rPr>
          <w:rFonts w:ascii="Times New Roman" w:hAnsi="Times New Roman" w:cs="Times New Roman"/>
        </w:rPr>
        <w:t>BoRSF</w:t>
      </w:r>
      <w:proofErr w:type="spellEnd"/>
      <w:r>
        <w:rPr>
          <w:rFonts w:ascii="Times New Roman" w:hAnsi="Times New Roman" w:cs="Times New Roman"/>
        </w:rPr>
        <w:t xml:space="preserve"> funds have helped campuses to secure </w:t>
      </w:r>
      <w:r w:rsidRPr="00FD73BF">
        <w:rPr>
          <w:rFonts w:ascii="Times New Roman" w:hAnsi="Times New Roman" w:cs="Times New Roman"/>
          <w:b/>
        </w:rPr>
        <w:t>research and educational infrastructure, cutting-edge equipment, student training opportunities, and support for superior faculty</w:t>
      </w:r>
      <w:r>
        <w:rPr>
          <w:rFonts w:ascii="Times New Roman" w:hAnsi="Times New Roman" w:cs="Times New Roman"/>
        </w:rPr>
        <w:t xml:space="preserve"> across all postsecondary levels.</w:t>
      </w:r>
    </w:p>
    <w:p w14:paraId="7FB03871" w14:textId="77777777" w:rsidR="00A73E80" w:rsidRPr="00377EFC" w:rsidRDefault="00A73E80" w:rsidP="00A73E80">
      <w:pPr>
        <w:pStyle w:val="ListParagraph"/>
        <w:numPr>
          <w:ilvl w:val="0"/>
          <w:numId w:val="9"/>
        </w:numPr>
        <w:ind w:left="360" w:hanging="270"/>
        <w:rPr>
          <w:rFonts w:ascii="Times New Roman" w:hAnsi="Times New Roman" w:cs="Times New Roman"/>
        </w:rPr>
      </w:pPr>
      <w:r>
        <w:rPr>
          <w:rFonts w:ascii="Times New Roman" w:hAnsi="Times New Roman" w:cs="Times New Roman"/>
        </w:rPr>
        <w:t xml:space="preserve">Approximately </w:t>
      </w:r>
      <w:r w:rsidRPr="000C095D">
        <w:rPr>
          <w:rFonts w:ascii="Times New Roman" w:hAnsi="Times New Roman" w:cs="Times New Roman"/>
          <w:b/>
        </w:rPr>
        <w:t>9</w:t>
      </w:r>
      <w:r>
        <w:rPr>
          <w:rFonts w:ascii="Times New Roman" w:hAnsi="Times New Roman" w:cs="Times New Roman"/>
          <w:b/>
        </w:rPr>
        <w:t>2</w:t>
      </w:r>
      <w:r w:rsidRPr="000C095D">
        <w:rPr>
          <w:rFonts w:ascii="Times New Roman" w:hAnsi="Times New Roman" w:cs="Times New Roman"/>
          <w:b/>
        </w:rPr>
        <w:t xml:space="preserve">% of all </w:t>
      </w:r>
      <w:proofErr w:type="spellStart"/>
      <w:r w:rsidRPr="000C095D">
        <w:rPr>
          <w:rFonts w:ascii="Times New Roman" w:hAnsi="Times New Roman" w:cs="Times New Roman"/>
          <w:b/>
        </w:rPr>
        <w:t>BoRSF</w:t>
      </w:r>
      <w:proofErr w:type="spellEnd"/>
      <w:r w:rsidRPr="000C095D">
        <w:rPr>
          <w:rFonts w:ascii="Times New Roman" w:hAnsi="Times New Roman" w:cs="Times New Roman"/>
          <w:b/>
        </w:rPr>
        <w:t xml:space="preserve"> dollars</w:t>
      </w:r>
      <w:r>
        <w:rPr>
          <w:rFonts w:ascii="Times New Roman" w:hAnsi="Times New Roman" w:cs="Times New Roman"/>
        </w:rPr>
        <w:t xml:space="preserve"> have been expended for science, technology, engineering, and mathematics (STEM) </w:t>
      </w:r>
      <w:r w:rsidRPr="00377EFC">
        <w:rPr>
          <w:rFonts w:ascii="Times New Roman" w:hAnsi="Times New Roman" w:cs="Times New Roman"/>
        </w:rPr>
        <w:t xml:space="preserve">projects, enhancing research and training to these critical economic drivers. </w:t>
      </w:r>
    </w:p>
    <w:p w14:paraId="26723C17" w14:textId="77777777" w:rsidR="00A73E80" w:rsidRPr="00E101E3" w:rsidRDefault="00A73E80" w:rsidP="00A73E80">
      <w:pPr>
        <w:pStyle w:val="ListParagraph"/>
        <w:numPr>
          <w:ilvl w:val="0"/>
          <w:numId w:val="9"/>
        </w:numPr>
        <w:ind w:left="360" w:hanging="270"/>
        <w:rPr>
          <w:rFonts w:ascii="Times New Roman" w:hAnsi="Times New Roman" w:cs="Times New Roman"/>
        </w:rPr>
      </w:pPr>
      <w:r w:rsidRPr="00377EFC">
        <w:rPr>
          <w:rFonts w:ascii="Times New Roman" w:hAnsi="Times New Roman" w:cs="Times New Roman"/>
        </w:rPr>
        <w:t xml:space="preserve">External funding agencies have </w:t>
      </w:r>
      <w:r w:rsidRPr="00E101E3">
        <w:rPr>
          <w:rFonts w:ascii="Times New Roman" w:hAnsi="Times New Roman" w:cs="Times New Roman"/>
        </w:rPr>
        <w:t>awarded</w:t>
      </w:r>
      <w:r>
        <w:rPr>
          <w:rFonts w:ascii="Times New Roman" w:hAnsi="Times New Roman" w:cs="Times New Roman"/>
        </w:rPr>
        <w:t xml:space="preserve"> </w:t>
      </w:r>
      <w:r w:rsidRPr="00E101E3">
        <w:rPr>
          <w:rFonts w:ascii="Times New Roman" w:hAnsi="Times New Roman" w:cs="Times New Roman"/>
          <w:b/>
        </w:rPr>
        <w:t>more than 4,700 grants and contracts</w:t>
      </w:r>
      <w:r w:rsidRPr="00E101E3">
        <w:rPr>
          <w:rFonts w:ascii="Times New Roman" w:hAnsi="Times New Roman" w:cs="Times New Roman"/>
        </w:rPr>
        <w:t xml:space="preserve"> to Louisiana higher education institutions as a direct result of </w:t>
      </w:r>
      <w:proofErr w:type="spellStart"/>
      <w:r w:rsidRPr="00E101E3">
        <w:rPr>
          <w:rFonts w:ascii="Times New Roman" w:hAnsi="Times New Roman" w:cs="Times New Roman"/>
        </w:rPr>
        <w:t>BoRSF</w:t>
      </w:r>
      <w:proofErr w:type="spellEnd"/>
      <w:r w:rsidRPr="00E101E3">
        <w:rPr>
          <w:rFonts w:ascii="Times New Roman" w:hAnsi="Times New Roman" w:cs="Times New Roman"/>
        </w:rPr>
        <w:t xml:space="preserve"> investments.</w:t>
      </w:r>
    </w:p>
    <w:p w14:paraId="07780DB5" w14:textId="77777777" w:rsidR="00A73E80" w:rsidRPr="006C792B" w:rsidRDefault="00A73E80" w:rsidP="00A73E80">
      <w:pPr>
        <w:pStyle w:val="ListParagraph"/>
        <w:numPr>
          <w:ilvl w:val="0"/>
          <w:numId w:val="9"/>
        </w:numPr>
        <w:ind w:left="360" w:hanging="270"/>
        <w:rPr>
          <w:rFonts w:ascii="Times New Roman" w:hAnsi="Times New Roman" w:cs="Times New Roman"/>
        </w:rPr>
      </w:pPr>
      <w:r w:rsidRPr="00377EFC">
        <w:rPr>
          <w:rFonts w:ascii="Times New Roman" w:hAnsi="Times New Roman" w:cs="Times New Roman"/>
          <w:b/>
        </w:rPr>
        <w:t xml:space="preserve">Endowed funds, inclusive of non-State and </w:t>
      </w:r>
      <w:proofErr w:type="spellStart"/>
      <w:r w:rsidRPr="00377EFC">
        <w:rPr>
          <w:rFonts w:ascii="Times New Roman" w:hAnsi="Times New Roman" w:cs="Times New Roman"/>
          <w:b/>
        </w:rPr>
        <w:t>BoRSF</w:t>
      </w:r>
      <w:proofErr w:type="spellEnd"/>
      <w:r w:rsidRPr="00377EFC">
        <w:rPr>
          <w:rFonts w:ascii="Times New Roman" w:hAnsi="Times New Roman" w:cs="Times New Roman"/>
          <w:b/>
        </w:rPr>
        <w:t xml:space="preserve"> contributions, have </w:t>
      </w:r>
      <w:proofErr w:type="gramStart"/>
      <w:r w:rsidRPr="00377EFC">
        <w:rPr>
          <w:rFonts w:ascii="Times New Roman" w:hAnsi="Times New Roman" w:cs="Times New Roman"/>
          <w:b/>
        </w:rPr>
        <w:t xml:space="preserve">a </w:t>
      </w:r>
      <w:r>
        <w:rPr>
          <w:rFonts w:ascii="Times New Roman" w:hAnsi="Times New Roman" w:cs="Times New Roman"/>
          <w:b/>
        </w:rPr>
        <w:t>$</w:t>
      </w:r>
      <w:proofErr w:type="gramEnd"/>
      <w:r>
        <w:rPr>
          <w:rFonts w:ascii="Times New Roman" w:hAnsi="Times New Roman" w:cs="Times New Roman"/>
          <w:b/>
        </w:rPr>
        <w:t>765 million in permanently dedicated funds,</w:t>
      </w:r>
      <w:r w:rsidRPr="00377EFC">
        <w:rPr>
          <w:rFonts w:ascii="Times New Roman" w:hAnsi="Times New Roman" w:cs="Times New Roman"/>
        </w:rPr>
        <w:t xml:space="preserve"> compris</w:t>
      </w:r>
      <w:r>
        <w:rPr>
          <w:rFonts w:ascii="Times New Roman" w:hAnsi="Times New Roman" w:cs="Times New Roman"/>
        </w:rPr>
        <w:t>ing</w:t>
      </w:r>
      <w:r w:rsidRPr="00377EFC">
        <w:rPr>
          <w:rFonts w:ascii="Times New Roman" w:hAnsi="Times New Roman" w:cs="Times New Roman"/>
        </w:rPr>
        <w:t xml:space="preserve"> </w:t>
      </w:r>
      <w:r w:rsidRPr="00377EFC">
        <w:rPr>
          <w:rFonts w:ascii="Times New Roman" w:hAnsi="Times New Roman" w:cs="Times New Roman"/>
          <w:b/>
        </w:rPr>
        <w:t>3,</w:t>
      </w:r>
      <w:r>
        <w:rPr>
          <w:rFonts w:ascii="Times New Roman" w:hAnsi="Times New Roman" w:cs="Times New Roman"/>
          <w:b/>
        </w:rPr>
        <w:t>5</w:t>
      </w:r>
      <w:r w:rsidRPr="00377EFC">
        <w:rPr>
          <w:rFonts w:ascii="Times New Roman" w:hAnsi="Times New Roman" w:cs="Times New Roman"/>
          <w:b/>
        </w:rPr>
        <w:t>00+ scholarship</w:t>
      </w:r>
      <w:r w:rsidRPr="00AC4991">
        <w:rPr>
          <w:rFonts w:ascii="Times New Roman" w:hAnsi="Times New Roman" w:cs="Times New Roman"/>
          <w:b/>
        </w:rPr>
        <w:t xml:space="preserve"> and faculty accounts</w:t>
      </w:r>
      <w:r w:rsidRPr="00AC4991">
        <w:rPr>
          <w:rFonts w:ascii="Times New Roman" w:hAnsi="Times New Roman" w:cs="Times New Roman"/>
        </w:rPr>
        <w:t xml:space="preserve">. The Support Fund’s share of endowment contributions makes it </w:t>
      </w:r>
      <w:r w:rsidRPr="006C792B">
        <w:rPr>
          <w:rFonts w:ascii="Times New Roman" w:hAnsi="Times New Roman" w:cs="Times New Roman"/>
        </w:rPr>
        <w:t xml:space="preserve">the </w:t>
      </w:r>
      <w:r w:rsidRPr="006C792B">
        <w:rPr>
          <w:rFonts w:ascii="Times New Roman" w:hAnsi="Times New Roman" w:cs="Times New Roman"/>
          <w:b/>
        </w:rPr>
        <w:t>largest single donor to higher education</w:t>
      </w:r>
      <w:r w:rsidRPr="006C792B">
        <w:rPr>
          <w:rFonts w:ascii="Times New Roman" w:hAnsi="Times New Roman" w:cs="Times New Roman"/>
        </w:rPr>
        <w:t xml:space="preserve"> in the State. </w:t>
      </w:r>
    </w:p>
    <w:p w14:paraId="23B299F2" w14:textId="77777777" w:rsidR="00A73E80" w:rsidRPr="006C792B" w:rsidRDefault="00A73E80" w:rsidP="00A73E80">
      <w:pPr>
        <w:pStyle w:val="ListParagraph"/>
        <w:numPr>
          <w:ilvl w:val="0"/>
          <w:numId w:val="9"/>
        </w:numPr>
        <w:ind w:left="360" w:hanging="270"/>
        <w:rPr>
          <w:rFonts w:ascii="Times New Roman" w:hAnsi="Times New Roman" w:cs="Times New Roman"/>
        </w:rPr>
      </w:pPr>
      <w:proofErr w:type="spellStart"/>
      <w:r w:rsidRPr="006C792B">
        <w:rPr>
          <w:rFonts w:ascii="Times New Roman" w:hAnsi="Times New Roman" w:cs="Times New Roman"/>
        </w:rPr>
        <w:t>BoRSF</w:t>
      </w:r>
      <w:proofErr w:type="spellEnd"/>
      <w:r w:rsidRPr="006C792B">
        <w:rPr>
          <w:rFonts w:ascii="Times New Roman" w:hAnsi="Times New Roman" w:cs="Times New Roman"/>
        </w:rPr>
        <w:t xml:space="preserve">-funded research has led to </w:t>
      </w:r>
      <w:r>
        <w:rPr>
          <w:rFonts w:ascii="Times New Roman" w:hAnsi="Times New Roman" w:cs="Times New Roman"/>
          <w:b/>
        </w:rPr>
        <w:t>more than 600</w:t>
      </w:r>
      <w:r w:rsidRPr="006C792B">
        <w:rPr>
          <w:rFonts w:ascii="Times New Roman" w:hAnsi="Times New Roman" w:cs="Times New Roman"/>
          <w:b/>
        </w:rPr>
        <w:t xml:space="preserve"> patent filings </w:t>
      </w:r>
      <w:r w:rsidRPr="006C792B">
        <w:rPr>
          <w:rFonts w:ascii="Times New Roman" w:hAnsi="Times New Roman" w:cs="Times New Roman"/>
        </w:rPr>
        <w:t>during the life of the awards.</w:t>
      </w:r>
    </w:p>
    <w:p w14:paraId="15C88D71" w14:textId="77777777" w:rsidR="00A73E80" w:rsidRPr="00FD73BF" w:rsidRDefault="00A73E80" w:rsidP="00A73E80">
      <w:pPr>
        <w:pStyle w:val="ListParagraph"/>
        <w:numPr>
          <w:ilvl w:val="0"/>
          <w:numId w:val="9"/>
        </w:numPr>
        <w:ind w:left="360" w:hanging="270"/>
        <w:rPr>
          <w:rFonts w:ascii="Times New Roman" w:hAnsi="Times New Roman" w:cs="Times New Roman"/>
        </w:rPr>
      </w:pPr>
      <w:r w:rsidRPr="006C792B">
        <w:rPr>
          <w:rFonts w:ascii="Times New Roman" w:hAnsi="Times New Roman" w:cs="Times New Roman"/>
          <w:b/>
        </w:rPr>
        <w:t>Expanded multi-campus collaborations</w:t>
      </w:r>
      <w:r w:rsidRPr="006C792B">
        <w:rPr>
          <w:rFonts w:ascii="Times New Roman" w:hAnsi="Times New Roman" w:cs="Times New Roman"/>
        </w:rPr>
        <w:t xml:space="preserve"> are key to</w:t>
      </w:r>
      <w:r>
        <w:rPr>
          <w:rFonts w:ascii="Times New Roman" w:hAnsi="Times New Roman" w:cs="Times New Roman"/>
        </w:rPr>
        <w:t xml:space="preserve"> Louisiana’s</w:t>
      </w:r>
      <w:r w:rsidRPr="00FD73BF">
        <w:rPr>
          <w:rFonts w:ascii="Times New Roman" w:hAnsi="Times New Roman" w:cs="Times New Roman"/>
        </w:rPr>
        <w:t xml:space="preserve"> competitiveness for federal R&amp;D money</w:t>
      </w:r>
      <w:r>
        <w:rPr>
          <w:rFonts w:ascii="Times New Roman" w:hAnsi="Times New Roman" w:cs="Times New Roman"/>
        </w:rPr>
        <w:t xml:space="preserve">, as evidenced by Louisiana’s extraordinary and consistent success in National Science </w:t>
      </w:r>
      <w:r w:rsidRPr="005527CB">
        <w:rPr>
          <w:rFonts w:ascii="Times New Roman" w:hAnsi="Times New Roman" w:cs="Times New Roman"/>
        </w:rPr>
        <w:t xml:space="preserve">Foundation, NASA, Department of Energy, and National Institutes of Health programs. The Support Fund has provided </w:t>
      </w:r>
      <w:r w:rsidRPr="005527CB">
        <w:rPr>
          <w:rFonts w:ascii="Times New Roman" w:hAnsi="Times New Roman" w:cs="Times New Roman"/>
          <w:b/>
          <w:bCs/>
        </w:rPr>
        <w:t>more than $100 million</w:t>
      </w:r>
      <w:r w:rsidRPr="005527CB">
        <w:rPr>
          <w:rFonts w:ascii="Times New Roman" w:hAnsi="Times New Roman" w:cs="Times New Roman"/>
        </w:rPr>
        <w:t xml:space="preserve"> in state </w:t>
      </w:r>
      <w:proofErr w:type="gramStart"/>
      <w:r w:rsidRPr="005527CB">
        <w:rPr>
          <w:rFonts w:ascii="Times New Roman" w:hAnsi="Times New Roman" w:cs="Times New Roman"/>
        </w:rPr>
        <w:t>match</w:t>
      </w:r>
      <w:proofErr w:type="gramEnd"/>
      <w:r w:rsidRPr="005527CB">
        <w:rPr>
          <w:rFonts w:ascii="Times New Roman" w:hAnsi="Times New Roman" w:cs="Times New Roman"/>
        </w:rPr>
        <w:t xml:space="preserve"> to multicampus awards managed through the Board of Regents to support these</w:t>
      </w:r>
      <w:r>
        <w:rPr>
          <w:rFonts w:ascii="Times New Roman" w:hAnsi="Times New Roman" w:cs="Times New Roman"/>
        </w:rPr>
        <w:t xml:space="preserve"> collaborative efforts. </w:t>
      </w:r>
    </w:p>
    <w:p w14:paraId="49E6E830" w14:textId="77777777" w:rsidR="00A73E80" w:rsidRPr="00FD73BF" w:rsidRDefault="00A73E80" w:rsidP="00A73E80">
      <w:pPr>
        <w:rPr>
          <w:rFonts w:ascii="Times New Roman" w:hAnsi="Times New Roman" w:cs="Times New Roman"/>
        </w:rPr>
      </w:pPr>
    </w:p>
    <w:p w14:paraId="3A6665DC" w14:textId="77777777" w:rsidR="00A73E80" w:rsidRDefault="00A73E80" w:rsidP="00A73E80">
      <w:pPr>
        <w:rPr>
          <w:rFonts w:ascii="Times New Roman" w:hAnsi="Times New Roman" w:cs="Times New Roman"/>
          <w:b/>
          <w:u w:val="single"/>
        </w:rPr>
      </w:pPr>
      <w:r w:rsidRPr="00FD73BF">
        <w:rPr>
          <w:rFonts w:ascii="Times New Roman" w:hAnsi="Times New Roman" w:cs="Times New Roman"/>
          <w:b/>
          <w:u w:val="single"/>
        </w:rPr>
        <w:t>Programs &amp; Subprograms</w:t>
      </w:r>
    </w:p>
    <w:p w14:paraId="055E7C65" w14:textId="77777777" w:rsidR="00A73E80" w:rsidRDefault="00A73E80" w:rsidP="00A73E80">
      <w:pPr>
        <w:rPr>
          <w:rFonts w:ascii="Times New Roman" w:hAnsi="Times New Roman" w:cs="Times New Roman"/>
          <w:b/>
          <w:u w:val="single"/>
        </w:rPr>
      </w:pPr>
    </w:p>
    <w:p w14:paraId="14D6EF82" w14:textId="77777777" w:rsidR="00A73E80" w:rsidRDefault="00A73E80" w:rsidP="00A73E80">
      <w:pPr>
        <w:jc w:val="center"/>
        <w:rPr>
          <w:rFonts w:ascii="Times New Roman" w:hAnsi="Times New Roman" w:cs="Times New Roman"/>
          <w:b/>
        </w:rPr>
      </w:pPr>
    </w:p>
    <w:p w14:paraId="14AF0647" w14:textId="77777777" w:rsidR="00A73E80" w:rsidRDefault="00A73E80" w:rsidP="00A73E80">
      <w:pPr>
        <w:jc w:val="center"/>
        <w:rPr>
          <w:rFonts w:ascii="Times New Roman" w:hAnsi="Times New Roman" w:cs="Times New Roman"/>
          <w:b/>
          <w:noProof/>
        </w:rPr>
      </w:pPr>
      <w:r>
        <w:rPr>
          <w:rFonts w:ascii="Times New Roman" w:hAnsi="Times New Roman" w:cs="Times New Roman"/>
          <w:b/>
          <w:noProof/>
        </w:rPr>
        <w:lastRenderedPageBreak/>
        <w:drawing>
          <wp:inline distT="0" distB="0" distL="0" distR="0" wp14:anchorId="7FB06830" wp14:editId="3929C754">
            <wp:extent cx="5767087" cy="2952750"/>
            <wp:effectExtent l="0" t="0" r="5080" b="0"/>
            <wp:docPr id="458902399" name="Picture 2" descr="A pie char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02399" name="Picture 2" descr="A pie chart with numbers and text&#10;&#10;Description automatically generated"/>
                    <pic:cNvPicPr/>
                  </pic:nvPicPr>
                  <pic:blipFill rotWithShape="1">
                    <a:blip r:embed="rId25"/>
                    <a:srcRect l="14614" t="17647" r="14616" b="17647"/>
                    <a:stretch/>
                  </pic:blipFill>
                  <pic:spPr bwMode="auto">
                    <a:xfrm>
                      <a:off x="0" y="0"/>
                      <a:ext cx="5895594" cy="3018546"/>
                    </a:xfrm>
                    <a:prstGeom prst="rect">
                      <a:avLst/>
                    </a:prstGeom>
                    <a:ln>
                      <a:noFill/>
                    </a:ln>
                    <a:extLst>
                      <a:ext uri="{53640926-AAD7-44D8-BBD7-CCE9431645EC}">
                        <a14:shadowObscured xmlns:a14="http://schemas.microsoft.com/office/drawing/2010/main"/>
                      </a:ext>
                    </a:extLst>
                  </pic:spPr>
                </pic:pic>
              </a:graphicData>
            </a:graphic>
          </wp:inline>
        </w:drawing>
      </w:r>
    </w:p>
    <w:p w14:paraId="1990802D" w14:textId="77777777" w:rsidR="00A73E80" w:rsidRDefault="00A73E80" w:rsidP="00A73E80">
      <w:pPr>
        <w:jc w:val="center"/>
        <w:rPr>
          <w:rFonts w:ascii="Times New Roman" w:hAnsi="Times New Roman" w:cs="Times New Roman"/>
          <w:b/>
        </w:rPr>
      </w:pPr>
    </w:p>
    <w:p w14:paraId="57920288" w14:textId="77777777" w:rsidR="00A73E80" w:rsidRDefault="00A73E80" w:rsidP="00A73E80">
      <w:pPr>
        <w:rPr>
          <w:rFonts w:ascii="Times New Roman" w:hAnsi="Times New Roman" w:cs="Times New Roman"/>
          <w:b/>
        </w:rPr>
      </w:pPr>
      <w:r>
        <w:rPr>
          <w:rFonts w:ascii="Times New Roman" w:hAnsi="Times New Roman" w:cs="Times New Roman"/>
          <w:b/>
        </w:rPr>
        <w:t xml:space="preserve">Endowment Matching </w:t>
      </w:r>
    </w:p>
    <w:p w14:paraId="1778007D" w14:textId="77777777" w:rsidR="00A73E80" w:rsidRDefault="00A73E80" w:rsidP="00A73E80">
      <w:pPr>
        <w:rPr>
          <w:rFonts w:ascii="Times New Roman" w:hAnsi="Times New Roman" w:cs="Times New Roman"/>
        </w:rPr>
      </w:pPr>
    </w:p>
    <w:p w14:paraId="71B77028" w14:textId="77777777" w:rsidR="00A73E80" w:rsidRDefault="00A73E80" w:rsidP="00A73E80">
      <w:pPr>
        <w:rPr>
          <w:rFonts w:ascii="Times New Roman" w:hAnsi="Times New Roman" w:cs="Times New Roman"/>
        </w:rPr>
      </w:pPr>
      <w:r>
        <w:rPr>
          <w:rFonts w:ascii="Times New Roman" w:hAnsi="Times New Roman" w:cs="Times New Roman"/>
        </w:rPr>
        <w:t xml:space="preserve">Through its endowment matching programs, the Support Fund pairs its dollars with a non-State donation </w:t>
      </w:r>
      <w:r w:rsidRPr="00BE1AFE">
        <w:rPr>
          <w:rFonts w:ascii="Times New Roman" w:hAnsi="Times New Roman" w:cs="Times New Roman"/>
        </w:rPr>
        <w:t>to establish an endowed fund</w:t>
      </w:r>
      <w:r>
        <w:rPr>
          <w:rFonts w:ascii="Times New Roman" w:hAnsi="Times New Roman" w:cs="Times New Roman"/>
        </w:rPr>
        <w:t xml:space="preserve"> in support of students or faculty members in targeted academic programs. The purpose is to use income generated from the endowment in perpetuity to support the goals and objectives of the endowed fund as defined by the Support Fund and the non-state donor. </w:t>
      </w:r>
    </w:p>
    <w:p w14:paraId="2556A9F1" w14:textId="77777777" w:rsidR="00A73E80" w:rsidRPr="00F84C09" w:rsidRDefault="00A73E80" w:rsidP="00A73E80">
      <w:pPr>
        <w:rPr>
          <w:rFonts w:ascii="Times New Roman" w:hAnsi="Times New Roman" w:cs="Times New Roman"/>
        </w:rPr>
      </w:pPr>
    </w:p>
    <w:p w14:paraId="08C23C53" w14:textId="77777777" w:rsidR="00A73E80" w:rsidRDefault="00A73E80" w:rsidP="00A73E80">
      <w:pPr>
        <w:pStyle w:val="ListParagraph"/>
        <w:numPr>
          <w:ilvl w:val="0"/>
          <w:numId w:val="10"/>
        </w:numPr>
        <w:autoSpaceDE w:val="0"/>
        <w:autoSpaceDN w:val="0"/>
        <w:adjustRightInd w:val="0"/>
        <w:rPr>
          <w:rFonts w:ascii="Times New Roman" w:hAnsi="Times New Roman" w:cs="Times New Roman"/>
        </w:rPr>
      </w:pPr>
      <w:r w:rsidRPr="00A83F78">
        <w:rPr>
          <w:rFonts w:ascii="Times New Roman" w:hAnsi="Times New Roman" w:cs="Times New Roman"/>
        </w:rPr>
        <w:t xml:space="preserve">The </w:t>
      </w:r>
      <w:r w:rsidRPr="00A83F78">
        <w:rPr>
          <w:rFonts w:ascii="Times New Roman" w:hAnsi="Times New Roman" w:cs="Times New Roman"/>
          <w:b/>
          <w:u w:val="single"/>
        </w:rPr>
        <w:t>Endowed Chairs for Eminent Scholars Program</w:t>
      </w:r>
      <w:r>
        <w:rPr>
          <w:rFonts w:ascii="Times New Roman" w:hAnsi="Times New Roman" w:cs="Times New Roman"/>
        </w:rPr>
        <w:t xml:space="preserve"> was established in 1988 </w:t>
      </w:r>
      <w:r w:rsidRPr="00A83F78">
        <w:rPr>
          <w:rFonts w:ascii="Times New Roman" w:hAnsi="Times New Roman" w:cs="Times New Roman"/>
          <w:iCs/>
        </w:rPr>
        <w:t xml:space="preserve">to leverage private-sector contributions and attract eminent scholars to Louisiana. A minimum $600,000 contribution of private funds is required, </w:t>
      </w:r>
      <w:r>
        <w:rPr>
          <w:rFonts w:ascii="Times New Roman" w:hAnsi="Times New Roman" w:cs="Times New Roman"/>
          <w:iCs/>
        </w:rPr>
        <w:t>to be</w:t>
      </w:r>
      <w:r w:rsidRPr="00A83F78">
        <w:rPr>
          <w:rFonts w:ascii="Times New Roman" w:hAnsi="Times New Roman" w:cs="Times New Roman"/>
          <w:iCs/>
        </w:rPr>
        <w:t xml:space="preserve"> matched with $400,000 from the </w:t>
      </w:r>
      <w:proofErr w:type="spellStart"/>
      <w:r w:rsidRPr="00A83F78">
        <w:rPr>
          <w:rFonts w:ascii="Times New Roman" w:hAnsi="Times New Roman" w:cs="Times New Roman"/>
          <w:iCs/>
        </w:rPr>
        <w:t>BoRSF</w:t>
      </w:r>
      <w:proofErr w:type="spellEnd"/>
      <w:r w:rsidRPr="00A83F78">
        <w:rPr>
          <w:rFonts w:ascii="Times New Roman" w:hAnsi="Times New Roman" w:cs="Times New Roman"/>
          <w:iCs/>
        </w:rPr>
        <w:t xml:space="preserve"> to create a minimum $1 million endowed chair. The same private </w:t>
      </w:r>
      <w:proofErr w:type="spellStart"/>
      <w:r w:rsidRPr="00A83F78">
        <w:rPr>
          <w:rFonts w:ascii="Times New Roman" w:hAnsi="Times New Roman" w:cs="Times New Roman"/>
          <w:iCs/>
        </w:rPr>
        <w:t>funds:BoRSF</w:t>
      </w:r>
      <w:proofErr w:type="spellEnd"/>
      <w:r w:rsidRPr="00A83F78">
        <w:rPr>
          <w:rFonts w:ascii="Times New Roman" w:hAnsi="Times New Roman" w:cs="Times New Roman"/>
          <w:iCs/>
        </w:rPr>
        <w:t xml:space="preserve"> ratio can be used to endow chairs at higher endowment levels, in increments of $1 million.</w:t>
      </w:r>
      <w:r w:rsidRPr="00A83F78">
        <w:rPr>
          <w:rFonts w:ascii="Times New Roman" w:hAnsi="Times New Roman" w:cs="Times New Roman"/>
        </w:rPr>
        <w:t xml:space="preserve"> Since its inception, the Endowed Chairs for Eminent Scholars Program has awarded $</w:t>
      </w:r>
      <w:r>
        <w:rPr>
          <w:rFonts w:ascii="Times New Roman" w:hAnsi="Times New Roman" w:cs="Times New Roman"/>
        </w:rPr>
        <w:t>155</w:t>
      </w:r>
      <w:r w:rsidRPr="00A83F78">
        <w:rPr>
          <w:rFonts w:ascii="Times New Roman" w:hAnsi="Times New Roman" w:cs="Times New Roman"/>
        </w:rPr>
        <w:t xml:space="preserve"> million in matching funds to establish 3</w:t>
      </w:r>
      <w:r>
        <w:rPr>
          <w:rFonts w:ascii="Times New Roman" w:hAnsi="Times New Roman" w:cs="Times New Roman"/>
        </w:rPr>
        <w:t>26</w:t>
      </w:r>
      <w:r w:rsidRPr="00A83F78">
        <w:rPr>
          <w:rFonts w:ascii="Times New Roman" w:hAnsi="Times New Roman" w:cs="Times New Roman"/>
        </w:rPr>
        <w:t xml:space="preserve"> chairs at 2</w:t>
      </w:r>
      <w:r>
        <w:rPr>
          <w:rFonts w:ascii="Times New Roman" w:hAnsi="Times New Roman" w:cs="Times New Roman"/>
        </w:rPr>
        <w:t>5</w:t>
      </w:r>
      <w:r w:rsidRPr="00A83F78">
        <w:rPr>
          <w:rFonts w:ascii="Times New Roman" w:hAnsi="Times New Roman" w:cs="Times New Roman"/>
        </w:rPr>
        <w:t xml:space="preserve"> campuses across the State. Of the</w:t>
      </w:r>
      <w:r>
        <w:rPr>
          <w:rFonts w:ascii="Times New Roman" w:hAnsi="Times New Roman" w:cs="Times New Roman"/>
        </w:rPr>
        <w:t>se</w:t>
      </w:r>
      <w:r w:rsidRPr="00A83F78">
        <w:rPr>
          <w:rFonts w:ascii="Times New Roman" w:hAnsi="Times New Roman" w:cs="Times New Roman"/>
        </w:rPr>
        <w:t xml:space="preserve"> established</w:t>
      </w:r>
      <w:r>
        <w:rPr>
          <w:rFonts w:ascii="Times New Roman" w:hAnsi="Times New Roman" w:cs="Times New Roman"/>
        </w:rPr>
        <w:t xml:space="preserve"> chairs</w:t>
      </w:r>
      <w:r w:rsidRPr="00A83F78">
        <w:rPr>
          <w:rFonts w:ascii="Times New Roman" w:hAnsi="Times New Roman" w:cs="Times New Roman"/>
        </w:rPr>
        <w:t xml:space="preserve">, </w:t>
      </w:r>
      <w:r>
        <w:rPr>
          <w:rFonts w:ascii="Times New Roman" w:hAnsi="Times New Roman" w:cs="Times New Roman"/>
        </w:rPr>
        <w:t>60</w:t>
      </w:r>
      <w:r w:rsidRPr="00A83F78">
        <w:rPr>
          <w:rFonts w:ascii="Times New Roman" w:hAnsi="Times New Roman" w:cs="Times New Roman"/>
        </w:rPr>
        <w:t xml:space="preserve"> have been matched at the $2 million level, </w:t>
      </w:r>
      <w:r>
        <w:rPr>
          <w:rFonts w:ascii="Times New Roman" w:hAnsi="Times New Roman" w:cs="Times New Roman"/>
        </w:rPr>
        <w:t>three</w:t>
      </w:r>
      <w:r w:rsidRPr="00A83F78">
        <w:rPr>
          <w:rFonts w:ascii="Times New Roman" w:hAnsi="Times New Roman" w:cs="Times New Roman"/>
        </w:rPr>
        <w:t xml:space="preserve"> at $3 million, and one at $4 million. </w:t>
      </w:r>
    </w:p>
    <w:p w14:paraId="1E90F15B" w14:textId="77777777" w:rsidR="00A73E80" w:rsidRPr="0083307A" w:rsidRDefault="00A73E80" w:rsidP="00A73E80">
      <w:pPr>
        <w:pStyle w:val="ListParagraph"/>
        <w:numPr>
          <w:ilvl w:val="0"/>
          <w:numId w:val="10"/>
        </w:numPr>
        <w:autoSpaceDE w:val="0"/>
        <w:autoSpaceDN w:val="0"/>
        <w:adjustRightInd w:val="0"/>
        <w:rPr>
          <w:rFonts w:ascii="Times New Roman" w:hAnsi="Times New Roman" w:cs="Times New Roman"/>
          <w:iCs/>
        </w:rPr>
      </w:pPr>
      <w:r w:rsidRPr="00AA304A">
        <w:rPr>
          <w:rFonts w:ascii="Times New Roman" w:hAnsi="Times New Roman" w:cs="Times New Roman"/>
          <w:b/>
          <w:u w:val="single"/>
        </w:rPr>
        <w:t>Endowed Professorships</w:t>
      </w:r>
      <w:r w:rsidRPr="00AA304A">
        <w:rPr>
          <w:rFonts w:ascii="Times New Roman" w:hAnsi="Times New Roman" w:cs="Times New Roman"/>
        </w:rPr>
        <w:t xml:space="preserve">, added to the Support Fund in 1990-91, establishes faculty endowment funds for campuses to recruit or retain </w:t>
      </w:r>
      <w:r>
        <w:rPr>
          <w:rFonts w:ascii="Times New Roman" w:hAnsi="Times New Roman" w:cs="Times New Roman"/>
        </w:rPr>
        <w:t xml:space="preserve">junior or senior </w:t>
      </w:r>
      <w:r w:rsidRPr="00AA304A">
        <w:rPr>
          <w:rFonts w:ascii="Times New Roman" w:hAnsi="Times New Roman" w:cs="Times New Roman"/>
        </w:rPr>
        <w:t xml:space="preserve">faculty whose research, teaching, and public service uniquely contribute to the mission of their </w:t>
      </w:r>
      <w:r w:rsidRPr="0083307A">
        <w:rPr>
          <w:rFonts w:ascii="Times New Roman" w:hAnsi="Times New Roman" w:cs="Times New Roman"/>
        </w:rPr>
        <w:t>departments and institutions. To date, matching totaling $195.5 million has been provided for 2,665 Endowed Professorships at 4</w:t>
      </w:r>
      <w:r>
        <w:rPr>
          <w:rFonts w:ascii="Times New Roman" w:hAnsi="Times New Roman" w:cs="Times New Roman"/>
        </w:rPr>
        <w:t>1</w:t>
      </w:r>
      <w:r w:rsidRPr="0083307A">
        <w:rPr>
          <w:rFonts w:ascii="Times New Roman" w:hAnsi="Times New Roman" w:cs="Times New Roman"/>
        </w:rPr>
        <w:t xml:space="preserve"> campuses.</w:t>
      </w:r>
    </w:p>
    <w:p w14:paraId="3987E230" w14:textId="77777777" w:rsidR="00A73E80" w:rsidRPr="00285405" w:rsidRDefault="00A73E80" w:rsidP="00A73E80">
      <w:pPr>
        <w:pStyle w:val="ListParagraph"/>
        <w:numPr>
          <w:ilvl w:val="0"/>
          <w:numId w:val="10"/>
        </w:numPr>
        <w:rPr>
          <w:rFonts w:ascii="Times New Roman" w:hAnsi="Times New Roman" w:cs="Times New Roman"/>
        </w:rPr>
      </w:pPr>
      <w:r w:rsidRPr="00285405">
        <w:rPr>
          <w:rFonts w:ascii="Times New Roman" w:hAnsi="Times New Roman" w:cs="Times New Roman"/>
          <w:b/>
          <w:u w:val="single"/>
        </w:rPr>
        <w:t>Endowed Superior Graduate Student Scholarships</w:t>
      </w:r>
      <w:r w:rsidRPr="00285405">
        <w:rPr>
          <w:rFonts w:ascii="Times New Roman" w:hAnsi="Times New Roman" w:cs="Times New Roman"/>
        </w:rPr>
        <w:t xml:space="preserve">, introduced in FY 2015-16, establish permanent scholarship funds to support graduate and professional education at all levels, particularly in priority areas </w:t>
      </w:r>
      <w:r>
        <w:rPr>
          <w:rFonts w:ascii="Times New Roman" w:hAnsi="Times New Roman" w:cs="Times New Roman"/>
        </w:rPr>
        <w:t>aligned with</w:t>
      </w:r>
      <w:r w:rsidRPr="00285405">
        <w:rPr>
          <w:rFonts w:ascii="Times New Roman" w:hAnsi="Times New Roman" w:cs="Times New Roman"/>
        </w:rPr>
        <w:t xml:space="preserve"> the State</w:t>
      </w:r>
      <w:r>
        <w:rPr>
          <w:rFonts w:ascii="Times New Roman" w:hAnsi="Times New Roman" w:cs="Times New Roman"/>
        </w:rPr>
        <w:t>’s economy</w:t>
      </w:r>
      <w:r w:rsidRPr="00285405">
        <w:rPr>
          <w:rFonts w:ascii="Times New Roman" w:hAnsi="Times New Roman" w:cs="Times New Roman"/>
        </w:rPr>
        <w:t>. Since the program’s introduction, 1</w:t>
      </w:r>
      <w:r>
        <w:rPr>
          <w:rFonts w:ascii="Times New Roman" w:hAnsi="Times New Roman" w:cs="Times New Roman"/>
        </w:rPr>
        <w:t>66</w:t>
      </w:r>
      <w:r w:rsidRPr="00285405">
        <w:rPr>
          <w:rFonts w:ascii="Times New Roman" w:hAnsi="Times New Roman" w:cs="Times New Roman"/>
        </w:rPr>
        <w:t xml:space="preserve"> scholarships have been established at 11 campuses, either via direct match award</w:t>
      </w:r>
      <w:r>
        <w:rPr>
          <w:rFonts w:ascii="Times New Roman" w:hAnsi="Times New Roman" w:cs="Times New Roman"/>
        </w:rPr>
        <w:t>ed</w:t>
      </w:r>
      <w:r w:rsidRPr="00285405">
        <w:rPr>
          <w:rFonts w:ascii="Times New Roman" w:hAnsi="Times New Roman" w:cs="Times New Roman"/>
        </w:rPr>
        <w:t xml:space="preserve"> through competitive review or conversion from other </w:t>
      </w:r>
      <w:proofErr w:type="spellStart"/>
      <w:r w:rsidRPr="00285405">
        <w:rPr>
          <w:rFonts w:ascii="Times New Roman" w:hAnsi="Times New Roman" w:cs="Times New Roman"/>
        </w:rPr>
        <w:t>BoRSF</w:t>
      </w:r>
      <w:proofErr w:type="spellEnd"/>
      <w:r w:rsidRPr="00285405">
        <w:rPr>
          <w:rFonts w:ascii="Times New Roman" w:hAnsi="Times New Roman" w:cs="Times New Roman"/>
        </w:rPr>
        <w:t xml:space="preserve">-matched endowment types. </w:t>
      </w:r>
    </w:p>
    <w:p w14:paraId="2CFD12C5" w14:textId="77777777" w:rsidR="00A73E80" w:rsidRPr="009E3159" w:rsidRDefault="00A73E80" w:rsidP="00A73E80">
      <w:pPr>
        <w:pStyle w:val="ListParagraph"/>
        <w:numPr>
          <w:ilvl w:val="0"/>
          <w:numId w:val="10"/>
        </w:numPr>
        <w:autoSpaceDE w:val="0"/>
        <w:autoSpaceDN w:val="0"/>
        <w:adjustRightInd w:val="0"/>
        <w:rPr>
          <w:rFonts w:ascii="Times New Roman" w:hAnsi="Times New Roman" w:cs="Times New Roman"/>
          <w:iCs/>
        </w:rPr>
      </w:pPr>
      <w:r w:rsidRPr="00285405">
        <w:rPr>
          <w:rFonts w:ascii="Times New Roman" w:hAnsi="Times New Roman" w:cs="Times New Roman"/>
          <w:b/>
          <w:u w:val="single"/>
        </w:rPr>
        <w:t>First-Generation Endowed Undergraduate Scholarships</w:t>
      </w:r>
      <w:r w:rsidRPr="00285405">
        <w:rPr>
          <w:rFonts w:ascii="Times New Roman" w:hAnsi="Times New Roman" w:cs="Times New Roman"/>
        </w:rPr>
        <w:t>, a non-competitive program established in FY 2007-08, endows scholarships in support of undergraduate</w:t>
      </w:r>
      <w:r w:rsidRPr="00BE1AFE">
        <w:rPr>
          <w:rFonts w:ascii="Times New Roman" w:hAnsi="Times New Roman" w:cs="Times New Roman"/>
        </w:rPr>
        <w:t xml:space="preserve"> students who are the first in their </w:t>
      </w:r>
      <w:r>
        <w:rPr>
          <w:rFonts w:ascii="Times New Roman" w:hAnsi="Times New Roman" w:cs="Times New Roman"/>
        </w:rPr>
        <w:t xml:space="preserve">immediate </w:t>
      </w:r>
      <w:r w:rsidRPr="00BE1AFE">
        <w:rPr>
          <w:rFonts w:ascii="Times New Roman" w:hAnsi="Times New Roman" w:cs="Times New Roman"/>
        </w:rPr>
        <w:t>families to attend college.</w:t>
      </w:r>
      <w:r>
        <w:rPr>
          <w:rFonts w:ascii="Times New Roman" w:hAnsi="Times New Roman" w:cs="Times New Roman"/>
        </w:rPr>
        <w:t xml:space="preserve"> The program operated independently for ten </w:t>
      </w:r>
      <w:r w:rsidRPr="009E3159">
        <w:rPr>
          <w:rFonts w:ascii="Times New Roman" w:hAnsi="Times New Roman" w:cs="Times New Roman"/>
        </w:rPr>
        <w:t>years, then was incorporated as an eligible activity under the Endowed Professorships. To date, 2</w:t>
      </w:r>
      <w:r>
        <w:rPr>
          <w:rFonts w:ascii="Times New Roman" w:hAnsi="Times New Roman" w:cs="Times New Roman"/>
        </w:rPr>
        <w:t>86</w:t>
      </w:r>
      <w:r w:rsidRPr="009E3159">
        <w:rPr>
          <w:rFonts w:ascii="Times New Roman" w:hAnsi="Times New Roman" w:cs="Times New Roman"/>
        </w:rPr>
        <w:t xml:space="preserve"> First-Generation Undergraduate Scholarships have been matched at 2</w:t>
      </w:r>
      <w:r>
        <w:rPr>
          <w:rFonts w:ascii="Times New Roman" w:hAnsi="Times New Roman" w:cs="Times New Roman"/>
        </w:rPr>
        <w:t xml:space="preserve">9 </w:t>
      </w:r>
      <w:r w:rsidRPr="009E3159">
        <w:rPr>
          <w:rFonts w:ascii="Times New Roman" w:hAnsi="Times New Roman" w:cs="Times New Roman"/>
        </w:rPr>
        <w:t xml:space="preserve">campuses. </w:t>
      </w:r>
    </w:p>
    <w:p w14:paraId="03C5E66A" w14:textId="77777777" w:rsidR="00A73E80" w:rsidRPr="00D864EF" w:rsidRDefault="00A73E80" w:rsidP="00A73E80">
      <w:pPr>
        <w:pStyle w:val="ListParagraph"/>
        <w:numPr>
          <w:ilvl w:val="0"/>
          <w:numId w:val="10"/>
        </w:numPr>
        <w:autoSpaceDE w:val="0"/>
        <w:autoSpaceDN w:val="0"/>
        <w:adjustRightInd w:val="0"/>
        <w:rPr>
          <w:rFonts w:ascii="Times New Roman" w:hAnsi="Times New Roman" w:cs="Times New Roman"/>
        </w:rPr>
      </w:pPr>
      <w:r w:rsidRPr="00D864EF">
        <w:rPr>
          <w:rFonts w:ascii="Times New Roman" w:hAnsi="Times New Roman" w:cs="Times New Roman"/>
        </w:rPr>
        <w:lastRenderedPageBreak/>
        <w:t xml:space="preserve">The </w:t>
      </w:r>
      <w:proofErr w:type="spellStart"/>
      <w:r w:rsidRPr="00D864EF">
        <w:rPr>
          <w:rFonts w:ascii="Times New Roman" w:hAnsi="Times New Roman" w:cs="Times New Roman"/>
          <w:b/>
          <w:u w:val="single"/>
        </w:rPr>
        <w:t>BoRSF</w:t>
      </w:r>
      <w:proofErr w:type="spellEnd"/>
      <w:r w:rsidRPr="00D864EF">
        <w:rPr>
          <w:rFonts w:ascii="Times New Roman" w:hAnsi="Times New Roman" w:cs="Times New Roman"/>
          <w:b/>
          <w:u w:val="single"/>
        </w:rPr>
        <w:t xml:space="preserve"> Endowed: Two-Year Student Workforce Scholarships</w:t>
      </w:r>
      <w:r w:rsidRPr="00D864EF">
        <w:rPr>
          <w:rFonts w:ascii="Times New Roman" w:hAnsi="Times New Roman" w:cs="Times New Roman"/>
        </w:rPr>
        <w:t>, a fully competitive</w:t>
      </w:r>
      <w:r>
        <w:rPr>
          <w:rFonts w:ascii="Times New Roman" w:hAnsi="Times New Roman" w:cs="Times New Roman"/>
        </w:rPr>
        <w:t xml:space="preserve"> program first funded in FY 2015-16, enables community and community-technical colleges to build an inventory of endowed scholarships specifically targeting </w:t>
      </w:r>
      <w:r w:rsidRPr="00D864EF">
        <w:rPr>
          <w:rFonts w:ascii="Times New Roman" w:hAnsi="Times New Roman" w:cs="Times New Roman"/>
        </w:rPr>
        <w:t>degree and certificate programs contributing to Louisiana’s highest priority workforce needs. Through FY 20</w:t>
      </w:r>
      <w:r>
        <w:rPr>
          <w:rFonts w:ascii="Times New Roman" w:hAnsi="Times New Roman" w:cs="Times New Roman"/>
        </w:rPr>
        <w:t>22</w:t>
      </w:r>
      <w:r w:rsidRPr="00D864EF">
        <w:rPr>
          <w:rFonts w:ascii="Times New Roman" w:hAnsi="Times New Roman" w:cs="Times New Roman"/>
        </w:rPr>
        <w:t>-2</w:t>
      </w:r>
      <w:r>
        <w:rPr>
          <w:rFonts w:ascii="Times New Roman" w:hAnsi="Times New Roman" w:cs="Times New Roman"/>
        </w:rPr>
        <w:t>3</w:t>
      </w:r>
      <w:r w:rsidRPr="00D864EF">
        <w:rPr>
          <w:rFonts w:ascii="Times New Roman" w:hAnsi="Times New Roman" w:cs="Times New Roman"/>
        </w:rPr>
        <w:t xml:space="preserve">, </w:t>
      </w:r>
      <w:r>
        <w:rPr>
          <w:rFonts w:ascii="Times New Roman" w:hAnsi="Times New Roman" w:cs="Times New Roman"/>
        </w:rPr>
        <w:t>180</w:t>
      </w:r>
      <w:r w:rsidRPr="00D864EF">
        <w:rPr>
          <w:rFonts w:ascii="Times New Roman" w:hAnsi="Times New Roman" w:cs="Times New Roman"/>
        </w:rPr>
        <w:t xml:space="preserve"> Workforce Scholarships have been endowed at 13 campuses. </w:t>
      </w:r>
    </w:p>
    <w:p w14:paraId="5A2511A0" w14:textId="77777777" w:rsidR="00A73E80" w:rsidRPr="00F84C09" w:rsidRDefault="00A73E80" w:rsidP="00A73E80">
      <w:pPr>
        <w:autoSpaceDE w:val="0"/>
        <w:autoSpaceDN w:val="0"/>
        <w:adjustRightInd w:val="0"/>
        <w:rPr>
          <w:rFonts w:ascii="Times New Roman" w:hAnsi="Times New Roman" w:cs="Times New Roman"/>
        </w:rPr>
      </w:pPr>
    </w:p>
    <w:p w14:paraId="5B220BE7" w14:textId="77777777" w:rsidR="00A73E80" w:rsidRPr="00F84C09" w:rsidRDefault="00A73E80" w:rsidP="00A73E80">
      <w:pPr>
        <w:outlineLvl w:val="0"/>
        <w:rPr>
          <w:rFonts w:ascii="Times New Roman" w:hAnsi="Times New Roman" w:cs="Times New Roman"/>
          <w:b/>
        </w:rPr>
      </w:pPr>
      <w:r w:rsidRPr="00F84C09">
        <w:rPr>
          <w:rFonts w:ascii="Times New Roman" w:hAnsi="Times New Roman" w:cs="Times New Roman"/>
          <w:b/>
        </w:rPr>
        <w:t>Recruitment of Superior Graduate Students</w:t>
      </w:r>
    </w:p>
    <w:p w14:paraId="442F8285" w14:textId="77777777" w:rsidR="00A73E80" w:rsidRPr="00F84C09" w:rsidRDefault="00A73E80" w:rsidP="00A73E80">
      <w:pPr>
        <w:rPr>
          <w:rFonts w:ascii="Times New Roman" w:hAnsi="Times New Roman" w:cs="Times New Roman"/>
        </w:rPr>
      </w:pPr>
    </w:p>
    <w:p w14:paraId="6DAF0DD7" w14:textId="77777777" w:rsidR="00A73E80" w:rsidRPr="00313205" w:rsidRDefault="00A73E80" w:rsidP="00A73E80">
      <w:pPr>
        <w:rPr>
          <w:rFonts w:ascii="Times New Roman" w:hAnsi="Times New Roman" w:cs="Times New Roman"/>
        </w:rPr>
      </w:pPr>
      <w:r w:rsidRPr="00F84C09">
        <w:rPr>
          <w:rFonts w:ascii="Times New Roman" w:hAnsi="Times New Roman" w:cs="Times New Roman"/>
        </w:rPr>
        <w:t xml:space="preserve">The </w:t>
      </w:r>
      <w:r>
        <w:rPr>
          <w:rFonts w:ascii="Times New Roman" w:hAnsi="Times New Roman" w:cs="Times New Roman"/>
        </w:rPr>
        <w:t xml:space="preserve">Support Fund’s </w:t>
      </w:r>
      <w:r w:rsidRPr="00F84C09">
        <w:rPr>
          <w:rFonts w:ascii="Times New Roman" w:hAnsi="Times New Roman" w:cs="Times New Roman"/>
        </w:rPr>
        <w:t xml:space="preserve">Recruitment of Superior Graduate Students Program is designed to help </w:t>
      </w:r>
      <w:r>
        <w:rPr>
          <w:rFonts w:ascii="Times New Roman" w:hAnsi="Times New Roman" w:cs="Times New Roman"/>
        </w:rPr>
        <w:t>attract</w:t>
      </w:r>
      <w:r w:rsidRPr="00F84C09">
        <w:rPr>
          <w:rFonts w:ascii="Times New Roman" w:hAnsi="Times New Roman" w:cs="Times New Roman"/>
        </w:rPr>
        <w:t xml:space="preserve"> students of superior ability to Louisiana</w:t>
      </w:r>
      <w:r>
        <w:rPr>
          <w:rFonts w:ascii="Times New Roman" w:hAnsi="Times New Roman" w:cs="Times New Roman"/>
        </w:rPr>
        <w:t xml:space="preserve"> master’s and doctoral programs</w:t>
      </w:r>
      <w:r w:rsidRPr="00F84C09">
        <w:rPr>
          <w:rFonts w:ascii="Times New Roman" w:hAnsi="Times New Roman" w:cs="Times New Roman"/>
        </w:rPr>
        <w:t xml:space="preserve"> and encourage top graduates from the State’s higher education institutions to pursue advanced degrees. It</w:t>
      </w:r>
      <w:r>
        <w:rPr>
          <w:rFonts w:ascii="Times New Roman" w:hAnsi="Times New Roman" w:cs="Times New Roman"/>
        </w:rPr>
        <w:t xml:space="preserve"> has</w:t>
      </w:r>
      <w:r w:rsidRPr="00F84C09">
        <w:rPr>
          <w:rFonts w:ascii="Times New Roman" w:hAnsi="Times New Roman" w:cs="Times New Roman"/>
        </w:rPr>
        <w:t xml:space="preserve"> consist</w:t>
      </w:r>
      <w:r>
        <w:rPr>
          <w:rFonts w:ascii="Times New Roman" w:hAnsi="Times New Roman" w:cs="Times New Roman"/>
        </w:rPr>
        <w:t>ed</w:t>
      </w:r>
      <w:r w:rsidRPr="00F84C09">
        <w:rPr>
          <w:rFonts w:ascii="Times New Roman" w:hAnsi="Times New Roman" w:cs="Times New Roman"/>
        </w:rPr>
        <w:t xml:space="preserve"> of </w:t>
      </w:r>
      <w:r>
        <w:rPr>
          <w:rFonts w:ascii="Times New Roman" w:hAnsi="Times New Roman" w:cs="Times New Roman"/>
        </w:rPr>
        <w:t>two</w:t>
      </w:r>
      <w:r w:rsidRPr="00F84C09">
        <w:rPr>
          <w:rFonts w:ascii="Times New Roman" w:hAnsi="Times New Roman" w:cs="Times New Roman"/>
        </w:rPr>
        <w:t xml:space="preserve"> </w:t>
      </w:r>
      <w:r>
        <w:rPr>
          <w:rFonts w:ascii="Times New Roman" w:hAnsi="Times New Roman" w:cs="Times New Roman"/>
        </w:rPr>
        <w:t xml:space="preserve">competitive </w:t>
      </w:r>
      <w:r w:rsidRPr="00F84C09">
        <w:rPr>
          <w:rFonts w:ascii="Times New Roman" w:hAnsi="Times New Roman" w:cs="Times New Roman"/>
        </w:rPr>
        <w:t>subprograms</w:t>
      </w:r>
      <w:r>
        <w:rPr>
          <w:rFonts w:ascii="Times New Roman" w:hAnsi="Times New Roman" w:cs="Times New Roman"/>
        </w:rPr>
        <w:t xml:space="preserve"> offering full fellowships, though recent declines in resources led to the suspension of set-aside funding for these initiatives beginning in FY 2017-18. During the operation of the program, almost 1,700 full fellowships were provided to students pursuing doctoral and master’s degrees. Fellowship support may still be requested through the Support Fund, as a component of a Departmental Enhancement award. In addition, the Endowed Superior Graduate Student Scholarships Subprogram, described as part of the endowment programs, gives campuses the opportunity to leverage </w:t>
      </w:r>
      <w:proofErr w:type="spellStart"/>
      <w:r>
        <w:rPr>
          <w:rFonts w:ascii="Times New Roman" w:hAnsi="Times New Roman" w:cs="Times New Roman"/>
        </w:rPr>
        <w:t>BoRSF</w:t>
      </w:r>
      <w:proofErr w:type="spellEnd"/>
      <w:r>
        <w:rPr>
          <w:rFonts w:ascii="Times New Roman" w:hAnsi="Times New Roman" w:cs="Times New Roman"/>
        </w:rPr>
        <w:t xml:space="preserve"> dollars on a competitive basis to establish a permanent source of student support for their graduate programs. </w:t>
      </w:r>
    </w:p>
    <w:p w14:paraId="6FB2F607" w14:textId="77777777" w:rsidR="00A73E80" w:rsidRDefault="00A73E80" w:rsidP="00A73E80">
      <w:pPr>
        <w:rPr>
          <w:rFonts w:ascii="Times New Roman" w:hAnsi="Times New Roman" w:cs="Times New Roman"/>
          <w:b/>
        </w:rPr>
      </w:pPr>
    </w:p>
    <w:p w14:paraId="3F954D60" w14:textId="77777777" w:rsidR="00A73E80" w:rsidRPr="00B04EAB" w:rsidRDefault="00A73E80" w:rsidP="00A73E80">
      <w:pPr>
        <w:outlineLvl w:val="0"/>
        <w:rPr>
          <w:rFonts w:ascii="Times New Roman" w:hAnsi="Times New Roman" w:cs="Times New Roman"/>
          <w:b/>
        </w:rPr>
      </w:pPr>
      <w:r>
        <w:rPr>
          <w:rFonts w:ascii="Times New Roman" w:hAnsi="Times New Roman" w:cs="Times New Roman"/>
          <w:b/>
        </w:rPr>
        <w:t xml:space="preserve">Targeted </w:t>
      </w:r>
      <w:r w:rsidRPr="003330B5">
        <w:rPr>
          <w:rFonts w:ascii="Times New Roman" w:hAnsi="Times New Roman" w:cs="Times New Roman"/>
          <w:b/>
        </w:rPr>
        <w:t xml:space="preserve">Research </w:t>
      </w:r>
      <w:r>
        <w:rPr>
          <w:rFonts w:ascii="Times New Roman" w:hAnsi="Times New Roman" w:cs="Times New Roman"/>
          <w:b/>
        </w:rPr>
        <w:t>and</w:t>
      </w:r>
      <w:r w:rsidRPr="003330B5">
        <w:rPr>
          <w:rFonts w:ascii="Times New Roman" w:hAnsi="Times New Roman" w:cs="Times New Roman"/>
          <w:b/>
        </w:rPr>
        <w:t xml:space="preserve"> Development</w:t>
      </w:r>
    </w:p>
    <w:p w14:paraId="5DC625D4" w14:textId="77777777" w:rsidR="00A73E80" w:rsidRPr="00B04EAB" w:rsidRDefault="00A73E80" w:rsidP="00A73E80">
      <w:pPr>
        <w:rPr>
          <w:rFonts w:ascii="Times New Roman" w:hAnsi="Times New Roman" w:cs="Times New Roman"/>
        </w:rPr>
      </w:pPr>
    </w:p>
    <w:p w14:paraId="15A61A93" w14:textId="77777777" w:rsidR="00A73E80" w:rsidRPr="00DB2421" w:rsidRDefault="00A73E80" w:rsidP="00A73E80">
      <w:pPr>
        <w:autoSpaceDE w:val="0"/>
        <w:autoSpaceDN w:val="0"/>
        <w:adjustRightInd w:val="0"/>
        <w:rPr>
          <w:rFonts w:ascii="Times New Roman" w:hAnsi="Times New Roman" w:cs="Times New Roman"/>
          <w:iCs/>
        </w:rPr>
      </w:pPr>
      <w:r w:rsidRPr="00B04EAB">
        <w:rPr>
          <w:rFonts w:ascii="Times New Roman" w:hAnsi="Times New Roman" w:cs="Times New Roman"/>
          <w:iCs/>
        </w:rPr>
        <w:t>The Research and Development Program provides competitive grants for basic and applied research projects with the potential to contribute</w:t>
      </w:r>
      <w:r w:rsidRPr="00DB2421">
        <w:rPr>
          <w:rFonts w:ascii="Times New Roman" w:hAnsi="Times New Roman" w:cs="Times New Roman"/>
          <w:iCs/>
        </w:rPr>
        <w:t xml:space="preserve"> to the knowledge base and the State’s economic development. Awards are made </w:t>
      </w:r>
      <w:r>
        <w:rPr>
          <w:rFonts w:ascii="Times New Roman" w:hAnsi="Times New Roman" w:cs="Times New Roman"/>
          <w:iCs/>
        </w:rPr>
        <w:t>in</w:t>
      </w:r>
      <w:r w:rsidRPr="00DB2421">
        <w:rPr>
          <w:rFonts w:ascii="Times New Roman" w:hAnsi="Times New Roman" w:cs="Times New Roman"/>
          <w:iCs/>
        </w:rPr>
        <w:t xml:space="preserve"> three subprograms: </w:t>
      </w:r>
    </w:p>
    <w:p w14:paraId="205623BD" w14:textId="77777777" w:rsidR="00A73E80" w:rsidRPr="00DB2421" w:rsidRDefault="00A73E80" w:rsidP="00A73E80">
      <w:pPr>
        <w:autoSpaceDE w:val="0"/>
        <w:autoSpaceDN w:val="0"/>
        <w:adjustRightInd w:val="0"/>
        <w:rPr>
          <w:rFonts w:ascii="Times New Roman" w:hAnsi="Times New Roman" w:cs="Times New Roman"/>
          <w:iCs/>
        </w:rPr>
      </w:pPr>
    </w:p>
    <w:p w14:paraId="23A5D531" w14:textId="77777777" w:rsidR="00A73E80" w:rsidRPr="00DB2421" w:rsidRDefault="00A73E80" w:rsidP="00A73E80">
      <w:pPr>
        <w:pStyle w:val="ListParagraph"/>
        <w:numPr>
          <w:ilvl w:val="0"/>
          <w:numId w:val="8"/>
        </w:numPr>
        <w:autoSpaceDE w:val="0"/>
        <w:autoSpaceDN w:val="0"/>
        <w:adjustRightInd w:val="0"/>
        <w:rPr>
          <w:rFonts w:ascii="Times New Roman" w:hAnsi="Times New Roman" w:cs="Times New Roman"/>
          <w:bCs/>
        </w:rPr>
      </w:pPr>
      <w:r w:rsidRPr="00DB2421">
        <w:rPr>
          <w:rFonts w:ascii="Times New Roman" w:hAnsi="Times New Roman" w:cs="Times New Roman"/>
          <w:bCs/>
        </w:rPr>
        <w:t xml:space="preserve">The </w:t>
      </w:r>
      <w:r w:rsidRPr="00DB2421">
        <w:rPr>
          <w:rFonts w:ascii="Times New Roman" w:hAnsi="Times New Roman" w:cs="Times New Roman"/>
          <w:b/>
          <w:bCs/>
          <w:u w:val="single"/>
        </w:rPr>
        <w:t>Research Competitiveness Subprogram (RCS)</w:t>
      </w:r>
      <w:r w:rsidRPr="00DB2421">
        <w:rPr>
          <w:rFonts w:ascii="Times New Roman" w:hAnsi="Times New Roman" w:cs="Times New Roman"/>
          <w:bCs/>
        </w:rPr>
        <w:t xml:space="preserve"> </w:t>
      </w:r>
      <w:r w:rsidRPr="00DB2421">
        <w:rPr>
          <w:rStyle w:val="Hyperlink"/>
          <w:rFonts w:ascii="Times New Roman" w:hAnsi="Times New Roman" w:cs="Times New Roman"/>
        </w:rPr>
        <w:t xml:space="preserve">is a stimulus program directed toward researchers at the threshold of becoming competitive in the Federal R&amp;D marketplace. It is designed to assist </w:t>
      </w:r>
      <w:r>
        <w:rPr>
          <w:rStyle w:val="Hyperlink"/>
          <w:rFonts w:ascii="Times New Roman" w:hAnsi="Times New Roman" w:cs="Times New Roman"/>
        </w:rPr>
        <w:t>eligible</w:t>
      </w:r>
      <w:r w:rsidRPr="00DB2421">
        <w:rPr>
          <w:rStyle w:val="Hyperlink"/>
          <w:rFonts w:ascii="Times New Roman" w:hAnsi="Times New Roman" w:cs="Times New Roman"/>
        </w:rPr>
        <w:t xml:space="preserve"> researchers </w:t>
      </w:r>
      <w:r>
        <w:rPr>
          <w:rStyle w:val="Hyperlink"/>
          <w:rFonts w:ascii="Times New Roman" w:hAnsi="Times New Roman" w:cs="Times New Roman"/>
        </w:rPr>
        <w:t>in overcoming</w:t>
      </w:r>
      <w:r w:rsidRPr="00DB2421">
        <w:rPr>
          <w:rStyle w:val="Hyperlink"/>
          <w:rFonts w:ascii="Times New Roman" w:hAnsi="Times New Roman" w:cs="Times New Roman"/>
        </w:rPr>
        <w:t xml:space="preserve"> barriers that have prevented them from competing successfully at the national level.</w:t>
      </w:r>
      <w:r>
        <w:rPr>
          <w:rStyle w:val="Hyperlink"/>
          <w:rFonts w:ascii="Times New Roman" w:hAnsi="Times New Roman" w:cs="Times New Roman"/>
        </w:rPr>
        <w:t xml:space="preserve"> A one-year component of RCS includes opportunities for faculty with specific short-term research needs to prepare for federal funding competitions. </w:t>
      </w:r>
    </w:p>
    <w:p w14:paraId="2BF06FE0" w14:textId="77777777" w:rsidR="00A73E80" w:rsidRPr="00DB2421" w:rsidRDefault="00A73E80" w:rsidP="00A73E80">
      <w:pPr>
        <w:pStyle w:val="ListParagraph"/>
        <w:numPr>
          <w:ilvl w:val="0"/>
          <w:numId w:val="8"/>
        </w:numPr>
        <w:tabs>
          <w:tab w:val="left" w:pos="0"/>
          <w:tab w:val="left" w:pos="720"/>
          <w:tab w:val="left" w:pos="2610"/>
        </w:tabs>
        <w:jc w:val="both"/>
        <w:rPr>
          <w:rFonts w:ascii="Times New Roman" w:hAnsi="Times New Roman" w:cs="Times New Roman"/>
        </w:rPr>
      </w:pPr>
      <w:r w:rsidRPr="00DB2421">
        <w:rPr>
          <w:rFonts w:ascii="Times New Roman" w:hAnsi="Times New Roman" w:cs="Times New Roman"/>
          <w:bCs/>
        </w:rPr>
        <w:t xml:space="preserve">The </w:t>
      </w:r>
      <w:r w:rsidRPr="00DB2421">
        <w:rPr>
          <w:rFonts w:ascii="Times New Roman" w:hAnsi="Times New Roman" w:cs="Times New Roman"/>
          <w:b/>
          <w:bCs/>
          <w:u w:val="single"/>
        </w:rPr>
        <w:t>Industrial Ties Research Subprogram (ITRS)</w:t>
      </w:r>
      <w:r w:rsidRPr="00DB2421">
        <w:rPr>
          <w:rStyle w:val="Hyperlink"/>
          <w:rFonts w:ascii="Times New Roman" w:hAnsi="Times New Roman" w:cs="Times New Roman"/>
        </w:rPr>
        <w:t xml:space="preserve"> funds </w:t>
      </w:r>
      <w:r>
        <w:rPr>
          <w:rStyle w:val="Hyperlink"/>
          <w:rFonts w:ascii="Times New Roman" w:hAnsi="Times New Roman" w:cs="Times New Roman"/>
        </w:rPr>
        <w:t xml:space="preserve">applied </w:t>
      </w:r>
      <w:r w:rsidRPr="00DB2421">
        <w:rPr>
          <w:rStyle w:val="Hyperlink"/>
          <w:rFonts w:ascii="Times New Roman" w:hAnsi="Times New Roman" w:cs="Times New Roman"/>
        </w:rPr>
        <w:t xml:space="preserve">research </w:t>
      </w:r>
      <w:r>
        <w:rPr>
          <w:rStyle w:val="Hyperlink"/>
          <w:rFonts w:ascii="Times New Roman" w:hAnsi="Times New Roman" w:cs="Times New Roman"/>
        </w:rPr>
        <w:t>with</w:t>
      </w:r>
      <w:r w:rsidRPr="00DB2421">
        <w:rPr>
          <w:rStyle w:val="Hyperlink"/>
          <w:rFonts w:ascii="Times New Roman" w:hAnsi="Times New Roman" w:cs="Times New Roman"/>
        </w:rPr>
        <w:t xml:space="preserve"> significant </w:t>
      </w:r>
      <w:r w:rsidRPr="00DB2421">
        <w:rPr>
          <w:rStyle w:val="Hyperlink"/>
          <w:rFonts w:ascii="Times New Roman" w:hAnsi="Times New Roman" w:cs="Times New Roman"/>
          <w:bCs/>
        </w:rPr>
        <w:t>near-term</w:t>
      </w:r>
      <w:r w:rsidRPr="00DB2421">
        <w:rPr>
          <w:rStyle w:val="Hyperlink"/>
          <w:rFonts w:ascii="Times New Roman" w:hAnsi="Times New Roman" w:cs="Times New Roman"/>
        </w:rPr>
        <w:t xml:space="preserve"> potential for contributing to the development and diversification of the Louisiana economy. Accordingly, all proposals and funded projects must demonstrate strong interest from and continued involvement by the private sector and/or non-State public agencies.</w:t>
      </w:r>
      <w:r>
        <w:rPr>
          <w:rStyle w:val="Hyperlink"/>
          <w:rFonts w:ascii="Times New Roman" w:hAnsi="Times New Roman" w:cs="Times New Roman"/>
        </w:rPr>
        <w:t xml:space="preserve"> A component within ITRS, the Proof-of-Concept/Prototype Initiative, funded initially in FY 2015-16, targets work needed to prepare campus-based research innovations for the marketplace. </w:t>
      </w:r>
    </w:p>
    <w:p w14:paraId="4200AB42" w14:textId="77777777" w:rsidR="00A73E80" w:rsidRPr="00DB2421" w:rsidRDefault="00A73E80" w:rsidP="00A73E80">
      <w:pPr>
        <w:pStyle w:val="ListParagraph"/>
        <w:numPr>
          <w:ilvl w:val="0"/>
          <w:numId w:val="8"/>
        </w:numPr>
        <w:autoSpaceDE w:val="0"/>
        <w:autoSpaceDN w:val="0"/>
        <w:adjustRightInd w:val="0"/>
        <w:rPr>
          <w:rStyle w:val="Hyperlink"/>
          <w:rFonts w:ascii="Times New Roman" w:hAnsi="Times New Roman" w:cs="Times New Roman"/>
          <w:bCs/>
        </w:rPr>
      </w:pPr>
      <w:r w:rsidRPr="00DB2421">
        <w:rPr>
          <w:rFonts w:ascii="Times New Roman" w:hAnsi="Times New Roman" w:cs="Times New Roman"/>
          <w:bCs/>
        </w:rPr>
        <w:t xml:space="preserve">The </w:t>
      </w:r>
      <w:r w:rsidRPr="00DB2421">
        <w:rPr>
          <w:rFonts w:ascii="Times New Roman" w:hAnsi="Times New Roman" w:cs="Times New Roman"/>
          <w:b/>
          <w:bCs/>
          <w:u w:val="single"/>
        </w:rPr>
        <w:t>Awards to Louisiana Artists and Scholars (ATLAS) Subprogram</w:t>
      </w:r>
      <w:r w:rsidRPr="00DB2421">
        <w:rPr>
          <w:rFonts w:ascii="Times New Roman" w:hAnsi="Times New Roman" w:cs="Times New Roman"/>
          <w:bCs/>
        </w:rPr>
        <w:t xml:space="preserve"> </w:t>
      </w:r>
      <w:r w:rsidRPr="00DB2421">
        <w:rPr>
          <w:rStyle w:val="Hyperlink"/>
          <w:rFonts w:ascii="Times New Roman" w:hAnsi="Times New Roman" w:cs="Times New Roman"/>
        </w:rPr>
        <w:t>provides support for major scholarly and artistic productions with potential to have a</w:t>
      </w:r>
      <w:r>
        <w:rPr>
          <w:rStyle w:val="Hyperlink"/>
          <w:rFonts w:ascii="Times New Roman" w:hAnsi="Times New Roman" w:cs="Times New Roman"/>
        </w:rPr>
        <w:t xml:space="preserve"> broad impact on a regional,</w:t>
      </w:r>
      <w:r w:rsidRPr="00DB2421">
        <w:rPr>
          <w:rStyle w:val="Hyperlink"/>
          <w:rFonts w:ascii="Times New Roman" w:hAnsi="Times New Roman" w:cs="Times New Roman"/>
        </w:rPr>
        <w:t xml:space="preserve"> national</w:t>
      </w:r>
      <w:r>
        <w:rPr>
          <w:rStyle w:val="Hyperlink"/>
          <w:rFonts w:ascii="Times New Roman" w:hAnsi="Times New Roman" w:cs="Times New Roman"/>
        </w:rPr>
        <w:t>, and/or international</w:t>
      </w:r>
      <w:r w:rsidRPr="00DB2421">
        <w:rPr>
          <w:rStyle w:val="Hyperlink"/>
          <w:rFonts w:ascii="Times New Roman" w:hAnsi="Times New Roman" w:cs="Times New Roman"/>
        </w:rPr>
        <w:t xml:space="preserve"> level. ATLAS awards facilitate the completion of manuscripts for publication and the mounting of creative productions including recordings, performances, and gallery </w:t>
      </w:r>
      <w:r>
        <w:rPr>
          <w:rStyle w:val="Hyperlink"/>
          <w:rFonts w:ascii="Times New Roman" w:hAnsi="Times New Roman" w:cs="Times New Roman"/>
        </w:rPr>
        <w:t>exhibitions</w:t>
      </w:r>
      <w:r w:rsidRPr="00DB2421">
        <w:rPr>
          <w:rStyle w:val="Hyperlink"/>
          <w:rFonts w:ascii="Times New Roman" w:hAnsi="Times New Roman" w:cs="Times New Roman"/>
        </w:rPr>
        <w:t xml:space="preserve">. </w:t>
      </w:r>
    </w:p>
    <w:p w14:paraId="2EB6D660" w14:textId="77777777" w:rsidR="00A73E80" w:rsidRPr="00DB2421" w:rsidRDefault="00A73E80" w:rsidP="00A73E80">
      <w:pPr>
        <w:autoSpaceDE w:val="0"/>
        <w:autoSpaceDN w:val="0"/>
        <w:adjustRightInd w:val="0"/>
        <w:rPr>
          <w:rFonts w:ascii="Times New Roman" w:hAnsi="Times New Roman" w:cs="Times New Roman"/>
          <w:bCs/>
        </w:rPr>
      </w:pPr>
    </w:p>
    <w:p w14:paraId="374ADAB8" w14:textId="77777777" w:rsidR="00A73E80" w:rsidRPr="006C792B" w:rsidRDefault="00A73E80" w:rsidP="00A73E80">
      <w:pPr>
        <w:autoSpaceDE w:val="0"/>
        <w:autoSpaceDN w:val="0"/>
        <w:adjustRightInd w:val="0"/>
        <w:rPr>
          <w:rFonts w:ascii="Times New Roman" w:hAnsi="Times New Roman" w:cs="Times New Roman"/>
          <w:bCs/>
        </w:rPr>
      </w:pPr>
      <w:r w:rsidRPr="00B04EAB">
        <w:rPr>
          <w:rFonts w:ascii="Times New Roman" w:hAnsi="Times New Roman" w:cs="Times New Roman"/>
          <w:bCs/>
        </w:rPr>
        <w:t xml:space="preserve">Since 1987, the Board has </w:t>
      </w:r>
      <w:r w:rsidRPr="0083307A">
        <w:rPr>
          <w:rFonts w:ascii="Times New Roman" w:hAnsi="Times New Roman" w:cs="Times New Roman"/>
          <w:bCs/>
        </w:rPr>
        <w:t>invested $177.6 million in approximately 2,250 R&amp;D projects across 23 campuses. All R&amp;D components are competitive and engage the services of out-of-state consultants to review and make recommendations</w:t>
      </w:r>
      <w:r w:rsidRPr="006C792B">
        <w:rPr>
          <w:rFonts w:ascii="Times New Roman" w:hAnsi="Times New Roman" w:cs="Times New Roman"/>
          <w:bCs/>
        </w:rPr>
        <w:t xml:space="preserve"> relative to proposals submitted for consideration. </w:t>
      </w:r>
    </w:p>
    <w:p w14:paraId="4DB5A760" w14:textId="77777777" w:rsidR="00A73E80" w:rsidRPr="006C792B" w:rsidRDefault="00A73E80" w:rsidP="00A73E80">
      <w:pPr>
        <w:autoSpaceDE w:val="0"/>
        <w:autoSpaceDN w:val="0"/>
        <w:adjustRightInd w:val="0"/>
        <w:rPr>
          <w:rFonts w:ascii="Times New Roman" w:hAnsi="Times New Roman" w:cs="Times New Roman"/>
          <w:bCs/>
        </w:rPr>
      </w:pPr>
    </w:p>
    <w:p w14:paraId="4CE2E23E" w14:textId="77777777" w:rsidR="00A73E80" w:rsidRPr="00DB2421" w:rsidRDefault="00A73E80" w:rsidP="00A73E80">
      <w:pPr>
        <w:autoSpaceDE w:val="0"/>
        <w:autoSpaceDN w:val="0"/>
        <w:adjustRightInd w:val="0"/>
        <w:outlineLvl w:val="0"/>
        <w:rPr>
          <w:rFonts w:ascii="Times New Roman" w:hAnsi="Times New Roman" w:cs="Times New Roman"/>
          <w:b/>
          <w:bCs/>
        </w:rPr>
      </w:pPr>
      <w:r w:rsidRPr="006C792B">
        <w:rPr>
          <w:rFonts w:ascii="Times New Roman" w:hAnsi="Times New Roman" w:cs="Times New Roman"/>
          <w:b/>
          <w:bCs/>
        </w:rPr>
        <w:t>Enhancement of Academic, Research, and Agricultural Departments and Units</w:t>
      </w:r>
    </w:p>
    <w:p w14:paraId="370E5298" w14:textId="77777777" w:rsidR="00A73E80" w:rsidRPr="00DB2421" w:rsidRDefault="00A73E80" w:rsidP="00A73E80">
      <w:pPr>
        <w:autoSpaceDE w:val="0"/>
        <w:autoSpaceDN w:val="0"/>
        <w:adjustRightInd w:val="0"/>
        <w:rPr>
          <w:rFonts w:ascii="Times New Roman" w:hAnsi="Times New Roman" w:cs="Times New Roman"/>
          <w:bCs/>
          <w:u w:val="single"/>
        </w:rPr>
      </w:pPr>
    </w:p>
    <w:p w14:paraId="3B83648A" w14:textId="77777777" w:rsidR="00A73E80" w:rsidRDefault="00A73E80" w:rsidP="00A73E80">
      <w:pPr>
        <w:autoSpaceDE w:val="0"/>
        <w:autoSpaceDN w:val="0"/>
        <w:adjustRightInd w:val="0"/>
        <w:rPr>
          <w:rFonts w:ascii="Times New Roman" w:hAnsi="Times New Roman" w:cs="Times New Roman"/>
          <w:iCs/>
        </w:rPr>
      </w:pPr>
      <w:r w:rsidRPr="00DB2421">
        <w:rPr>
          <w:rFonts w:ascii="Times New Roman" w:hAnsi="Times New Roman" w:cs="Times New Roman"/>
          <w:iCs/>
        </w:rPr>
        <w:lastRenderedPageBreak/>
        <w:t>The Enhancement component supports the broadest range of activities in the Support Fund</w:t>
      </w:r>
      <w:r>
        <w:rPr>
          <w:rFonts w:ascii="Times New Roman" w:hAnsi="Times New Roman" w:cs="Times New Roman"/>
          <w:iCs/>
        </w:rPr>
        <w:t xml:space="preserve"> via </w:t>
      </w:r>
      <w:r w:rsidRPr="00DB2421">
        <w:rPr>
          <w:rFonts w:ascii="Times New Roman" w:hAnsi="Times New Roman" w:cs="Times New Roman"/>
          <w:iCs/>
        </w:rPr>
        <w:t>competitive prog</w:t>
      </w:r>
      <w:r>
        <w:rPr>
          <w:rFonts w:ascii="Times New Roman" w:hAnsi="Times New Roman" w:cs="Times New Roman"/>
          <w:iCs/>
        </w:rPr>
        <w:t xml:space="preserve">rams for departments and units </w:t>
      </w:r>
      <w:r w:rsidRPr="00DB2421">
        <w:rPr>
          <w:rFonts w:ascii="Times New Roman" w:hAnsi="Times New Roman" w:cs="Times New Roman"/>
          <w:iCs/>
        </w:rPr>
        <w:t>and matching for federal awards</w:t>
      </w:r>
      <w:r>
        <w:rPr>
          <w:rFonts w:ascii="Times New Roman" w:hAnsi="Times New Roman" w:cs="Times New Roman"/>
          <w:iCs/>
        </w:rPr>
        <w:t xml:space="preserve">. Three endowment matching programs – Professorships, First-Generation Scholarships, and Workforce Scholarships – are budgeted in Enhancement, but described as part of the </w:t>
      </w:r>
      <w:proofErr w:type="spellStart"/>
      <w:r>
        <w:rPr>
          <w:rFonts w:ascii="Times New Roman" w:hAnsi="Times New Roman" w:cs="Times New Roman"/>
          <w:iCs/>
        </w:rPr>
        <w:t>BoRSF</w:t>
      </w:r>
      <w:proofErr w:type="spellEnd"/>
      <w:r>
        <w:rPr>
          <w:rFonts w:ascii="Times New Roman" w:hAnsi="Times New Roman" w:cs="Times New Roman"/>
          <w:iCs/>
        </w:rPr>
        <w:t xml:space="preserve"> endowment programs. </w:t>
      </w:r>
    </w:p>
    <w:p w14:paraId="3AB4DB60" w14:textId="77777777" w:rsidR="00A73E80" w:rsidRPr="00DB2421" w:rsidRDefault="00A73E80" w:rsidP="00A73E80">
      <w:pPr>
        <w:autoSpaceDE w:val="0"/>
        <w:autoSpaceDN w:val="0"/>
        <w:adjustRightInd w:val="0"/>
        <w:rPr>
          <w:rFonts w:ascii="Times New Roman" w:hAnsi="Times New Roman" w:cs="Times New Roman"/>
          <w:iCs/>
        </w:rPr>
      </w:pPr>
    </w:p>
    <w:p w14:paraId="4750B22A" w14:textId="77777777" w:rsidR="00A73E80" w:rsidRPr="00BE1AFE" w:rsidRDefault="00A73E80" w:rsidP="00A73E80">
      <w:pPr>
        <w:pStyle w:val="ListParagraph"/>
        <w:numPr>
          <w:ilvl w:val="0"/>
          <w:numId w:val="7"/>
        </w:numPr>
        <w:autoSpaceDE w:val="0"/>
        <w:autoSpaceDN w:val="0"/>
        <w:adjustRightInd w:val="0"/>
        <w:rPr>
          <w:rFonts w:ascii="Times New Roman" w:hAnsi="Times New Roman" w:cs="Times New Roman"/>
          <w:iCs/>
        </w:rPr>
      </w:pPr>
      <w:r>
        <w:rPr>
          <w:rFonts w:ascii="Times New Roman" w:hAnsi="Times New Roman" w:cs="Times New Roman"/>
          <w:b/>
          <w:iCs/>
          <w:u w:val="single"/>
        </w:rPr>
        <w:t>Departmental</w:t>
      </w:r>
      <w:r w:rsidRPr="00DB2421">
        <w:rPr>
          <w:rFonts w:ascii="Times New Roman" w:hAnsi="Times New Roman" w:cs="Times New Roman"/>
          <w:b/>
          <w:iCs/>
          <w:u w:val="single"/>
        </w:rPr>
        <w:t xml:space="preserve"> Enhancement</w:t>
      </w:r>
      <w:r>
        <w:rPr>
          <w:rFonts w:ascii="Times New Roman" w:hAnsi="Times New Roman" w:cs="Times New Roman"/>
          <w:iCs/>
        </w:rPr>
        <w:t xml:space="preserve"> is a competitive program which </w:t>
      </w:r>
      <w:r w:rsidRPr="00DB2421">
        <w:rPr>
          <w:rFonts w:ascii="Times New Roman" w:hAnsi="Times New Roman" w:cs="Times New Roman"/>
          <w:iCs/>
        </w:rPr>
        <w:t>provide</w:t>
      </w:r>
      <w:r>
        <w:rPr>
          <w:rFonts w:ascii="Times New Roman" w:hAnsi="Times New Roman" w:cs="Times New Roman"/>
          <w:iCs/>
        </w:rPr>
        <w:t>s</w:t>
      </w:r>
      <w:r w:rsidRPr="00DB2421">
        <w:rPr>
          <w:rFonts w:ascii="Times New Roman" w:hAnsi="Times New Roman" w:cs="Times New Roman"/>
          <w:iCs/>
        </w:rPr>
        <w:t xml:space="preserve"> opportunities </w:t>
      </w:r>
      <w:r>
        <w:rPr>
          <w:rFonts w:ascii="Times New Roman" w:hAnsi="Times New Roman" w:cs="Times New Roman"/>
          <w:iCs/>
        </w:rPr>
        <w:t xml:space="preserve">across all disciplines and </w:t>
      </w:r>
      <w:r w:rsidRPr="00DB2421">
        <w:rPr>
          <w:rFonts w:ascii="Times New Roman" w:hAnsi="Times New Roman" w:cs="Times New Roman"/>
          <w:iCs/>
        </w:rPr>
        <w:t xml:space="preserve">at all academic levels to improve the quality of academic departments or units, thus enhancing the </w:t>
      </w:r>
      <w:r w:rsidRPr="00BE1AFE">
        <w:rPr>
          <w:rFonts w:ascii="Times New Roman" w:hAnsi="Times New Roman" w:cs="Times New Roman"/>
          <w:iCs/>
        </w:rPr>
        <w:t xml:space="preserve">infrastructure of individual institutions and the capacity of higher education across the State. Emphasis is on the purchase of instructional and research equipment, although other types of enhancements are allowed. Proposals, reviewed by teams of out-of-state experts, are judged principally </w:t>
      </w:r>
      <w:r w:rsidRPr="0083307A">
        <w:rPr>
          <w:rFonts w:ascii="Times New Roman" w:hAnsi="Times New Roman" w:cs="Times New Roman"/>
          <w:iCs/>
        </w:rPr>
        <w:t>on the value and potential impact of proposed enhancements. Approximately 3,450 competitive Enhancement projects at 4</w:t>
      </w:r>
      <w:r>
        <w:rPr>
          <w:rFonts w:ascii="Times New Roman" w:hAnsi="Times New Roman" w:cs="Times New Roman"/>
          <w:iCs/>
        </w:rPr>
        <w:t>3</w:t>
      </w:r>
      <w:r w:rsidRPr="0083307A">
        <w:rPr>
          <w:rFonts w:ascii="Times New Roman" w:hAnsi="Times New Roman" w:cs="Times New Roman"/>
          <w:iCs/>
        </w:rPr>
        <w:t xml:space="preserve"> </w:t>
      </w:r>
      <w:r>
        <w:rPr>
          <w:rFonts w:ascii="Times New Roman" w:hAnsi="Times New Roman" w:cs="Times New Roman"/>
          <w:iCs/>
        </w:rPr>
        <w:t>institutions</w:t>
      </w:r>
      <w:r w:rsidRPr="0083307A">
        <w:rPr>
          <w:rFonts w:ascii="Times New Roman" w:hAnsi="Times New Roman" w:cs="Times New Roman"/>
          <w:iCs/>
        </w:rPr>
        <w:t xml:space="preserve"> have been funded since 1987, and the program was recently restructured to emphasize investment in high</w:t>
      </w:r>
      <w:r>
        <w:rPr>
          <w:rFonts w:ascii="Times New Roman" w:hAnsi="Times New Roman" w:cs="Times New Roman"/>
          <w:iCs/>
        </w:rPr>
        <w:t>-priority areas at all educational levels across campuses’ three core missions related to education and economic development: research, education, and workforce development</w:t>
      </w:r>
      <w:r w:rsidRPr="00BE1AFE">
        <w:rPr>
          <w:rFonts w:ascii="Times New Roman" w:hAnsi="Times New Roman" w:cs="Times New Roman"/>
          <w:iCs/>
        </w:rPr>
        <w:t xml:space="preserve">. </w:t>
      </w:r>
    </w:p>
    <w:p w14:paraId="7DCFC940" w14:textId="77777777" w:rsidR="00A73E80" w:rsidRPr="00A83F78" w:rsidRDefault="00A73E80" w:rsidP="00A73E80">
      <w:pPr>
        <w:rPr>
          <w:rFonts w:ascii="Times New Roman" w:hAnsi="Times New Roman" w:cs="Times New Roman"/>
          <w:iCs/>
        </w:rPr>
      </w:pPr>
    </w:p>
    <w:p w14:paraId="27688DD8" w14:textId="77777777" w:rsidR="00A73E80" w:rsidRPr="004D7408" w:rsidRDefault="00A73E80" w:rsidP="00A73E80">
      <w:pPr>
        <w:pStyle w:val="ListParagraph"/>
        <w:numPr>
          <w:ilvl w:val="0"/>
          <w:numId w:val="7"/>
        </w:numPr>
        <w:autoSpaceDE w:val="0"/>
        <w:autoSpaceDN w:val="0"/>
        <w:adjustRightInd w:val="0"/>
        <w:rPr>
          <w:rFonts w:ascii="Times New Roman" w:hAnsi="Times New Roman" w:cs="Times New Roman"/>
          <w:iCs/>
        </w:rPr>
      </w:pPr>
      <w:r w:rsidRPr="004D7408">
        <w:rPr>
          <w:rFonts w:ascii="Times New Roman" w:hAnsi="Times New Roman" w:cs="Times New Roman"/>
          <w:b/>
          <w:iCs/>
          <w:u w:val="single"/>
        </w:rPr>
        <w:t>Federal Matching</w:t>
      </w:r>
      <w:r w:rsidRPr="004D7408">
        <w:rPr>
          <w:rFonts w:ascii="Times New Roman" w:hAnsi="Times New Roman" w:cs="Times New Roman"/>
          <w:iCs/>
        </w:rPr>
        <w:t xml:space="preserve"> leverages </w:t>
      </w:r>
      <w:proofErr w:type="spellStart"/>
      <w:r>
        <w:rPr>
          <w:rFonts w:ascii="Times New Roman" w:hAnsi="Times New Roman" w:cs="Times New Roman"/>
          <w:iCs/>
        </w:rPr>
        <w:t>BoRSF</w:t>
      </w:r>
      <w:proofErr w:type="spellEnd"/>
      <w:r w:rsidRPr="004D7408">
        <w:rPr>
          <w:rFonts w:ascii="Times New Roman" w:hAnsi="Times New Roman" w:cs="Times New Roman"/>
          <w:iCs/>
        </w:rPr>
        <w:t xml:space="preserve"> monies to compete for funds from federal research programs, particularly through the Experimental Program to Stimulate Competitive Research (</w:t>
      </w:r>
      <w:proofErr w:type="spellStart"/>
      <w:r w:rsidRPr="004D7408">
        <w:rPr>
          <w:rFonts w:ascii="Times New Roman" w:hAnsi="Times New Roman" w:cs="Times New Roman"/>
          <w:iCs/>
        </w:rPr>
        <w:t>EPSCoR</w:t>
      </w:r>
      <w:proofErr w:type="spellEnd"/>
      <w:r w:rsidRPr="004D7408">
        <w:rPr>
          <w:rFonts w:ascii="Times New Roman" w:hAnsi="Times New Roman" w:cs="Times New Roman"/>
          <w:iCs/>
        </w:rPr>
        <w:t xml:space="preserve">). The Board has also matched </w:t>
      </w:r>
      <w:r w:rsidRPr="0083307A">
        <w:rPr>
          <w:rFonts w:ascii="Times New Roman" w:hAnsi="Times New Roman" w:cs="Times New Roman"/>
          <w:iCs/>
        </w:rPr>
        <w:t>Enhancement monies to obtain federal grants that implement and sustain statewide education reform efforts. Between 1987 and 2023, programs across eight federal agencies awarded more than $350 million</w:t>
      </w:r>
      <w:r w:rsidRPr="004D7408">
        <w:rPr>
          <w:rFonts w:ascii="Times New Roman" w:hAnsi="Times New Roman" w:cs="Times New Roman"/>
          <w:iCs/>
        </w:rPr>
        <w:t xml:space="preserve"> to joint federal/State initiatives, for which the </w:t>
      </w:r>
      <w:proofErr w:type="spellStart"/>
      <w:r w:rsidRPr="004D7408">
        <w:rPr>
          <w:rFonts w:ascii="Times New Roman" w:hAnsi="Times New Roman" w:cs="Times New Roman"/>
          <w:iCs/>
        </w:rPr>
        <w:t>BoRSF</w:t>
      </w:r>
      <w:proofErr w:type="spellEnd"/>
      <w:r>
        <w:rPr>
          <w:rFonts w:ascii="Times New Roman" w:hAnsi="Times New Roman" w:cs="Times New Roman"/>
          <w:iCs/>
        </w:rPr>
        <w:t xml:space="preserve"> </w:t>
      </w:r>
      <w:r w:rsidRPr="004D7408">
        <w:rPr>
          <w:rFonts w:ascii="Times New Roman" w:hAnsi="Times New Roman" w:cs="Times New Roman"/>
          <w:iCs/>
        </w:rPr>
        <w:t>provided match of over $</w:t>
      </w:r>
      <w:r>
        <w:rPr>
          <w:rFonts w:ascii="Times New Roman" w:hAnsi="Times New Roman" w:cs="Times New Roman"/>
          <w:iCs/>
        </w:rPr>
        <w:t>100</w:t>
      </w:r>
      <w:r w:rsidRPr="004D7408">
        <w:rPr>
          <w:rFonts w:ascii="Times New Roman" w:hAnsi="Times New Roman" w:cs="Times New Roman"/>
          <w:iCs/>
        </w:rPr>
        <w:t xml:space="preserve"> million</w:t>
      </w:r>
      <w:r>
        <w:rPr>
          <w:rFonts w:ascii="Times New Roman" w:hAnsi="Times New Roman" w:cs="Times New Roman"/>
          <w:iCs/>
        </w:rPr>
        <w:t>, including budgeted matching and funds from reserves</w:t>
      </w:r>
      <w:r w:rsidRPr="004D7408">
        <w:rPr>
          <w:rFonts w:ascii="Times New Roman" w:hAnsi="Times New Roman" w:cs="Times New Roman"/>
          <w:iCs/>
        </w:rPr>
        <w:t>.</w:t>
      </w:r>
    </w:p>
    <w:p w14:paraId="71165907" w14:textId="77777777" w:rsidR="00A73E80" w:rsidRPr="00FD73BF" w:rsidRDefault="00A73E80" w:rsidP="00A73E80">
      <w:pPr>
        <w:rPr>
          <w:rFonts w:ascii="Times New Roman" w:hAnsi="Times New Roman" w:cs="Times New Roman"/>
        </w:rPr>
      </w:pPr>
    </w:p>
    <w:p w14:paraId="01625F47" w14:textId="77777777" w:rsidR="00A73E80" w:rsidRPr="00DB2421" w:rsidRDefault="00A73E80" w:rsidP="00A73E80">
      <w:pPr>
        <w:rPr>
          <w:rFonts w:ascii="Times New Roman" w:hAnsi="Times New Roman" w:cs="Times New Roman"/>
        </w:rPr>
      </w:pPr>
      <w:r w:rsidRPr="0083307A">
        <w:rPr>
          <w:rFonts w:ascii="Times New Roman" w:hAnsi="Times New Roman" w:cs="Times New Roman"/>
        </w:rPr>
        <w:t xml:space="preserve">As the most inclusive program, Enhancement represents the largest investment of </w:t>
      </w:r>
      <w:proofErr w:type="spellStart"/>
      <w:r w:rsidRPr="0083307A">
        <w:rPr>
          <w:rFonts w:ascii="Times New Roman" w:hAnsi="Times New Roman" w:cs="Times New Roman"/>
        </w:rPr>
        <w:t>BoRSF</w:t>
      </w:r>
      <w:proofErr w:type="spellEnd"/>
      <w:r w:rsidRPr="0083307A">
        <w:rPr>
          <w:rFonts w:ascii="Times New Roman" w:hAnsi="Times New Roman" w:cs="Times New Roman"/>
        </w:rPr>
        <w:t xml:space="preserve"> monies, committing more than $390 million over three and a half decades – 40% of all Support Fund monies </w:t>
      </w:r>
      <w:r>
        <w:rPr>
          <w:rFonts w:ascii="Times New Roman" w:hAnsi="Times New Roman" w:cs="Times New Roman"/>
        </w:rPr>
        <w:t>invested</w:t>
      </w:r>
      <w:r w:rsidRPr="0083307A">
        <w:rPr>
          <w:rFonts w:ascii="Times New Roman" w:hAnsi="Times New Roman" w:cs="Times New Roman"/>
        </w:rPr>
        <w:t xml:space="preserve"> – to fund thousands of competitive projects and federal matching opportunities across eligible campuses statewide.</w:t>
      </w:r>
      <w:r w:rsidRPr="00DB2421">
        <w:rPr>
          <w:rFonts w:ascii="Times New Roman" w:hAnsi="Times New Roman" w:cs="Times New Roman"/>
        </w:rPr>
        <w:t xml:space="preserve"> </w:t>
      </w:r>
    </w:p>
    <w:p w14:paraId="4FAFA6FF" w14:textId="77777777" w:rsidR="007B48F3" w:rsidRDefault="007B48F3" w:rsidP="007B48F3">
      <w:pPr>
        <w:jc w:val="center"/>
        <w:outlineLvl w:val="0"/>
        <w:rPr>
          <w:rFonts w:ascii="Times New Roman" w:eastAsia="MS Mincho" w:hAnsi="Times New Roman" w:cs="Times New Roman"/>
          <w:b/>
          <w:sz w:val="36"/>
          <w:szCs w:val="36"/>
        </w:rPr>
      </w:pPr>
    </w:p>
    <w:p w14:paraId="20A662E6" w14:textId="77777777" w:rsidR="007B48F3" w:rsidRDefault="007B48F3" w:rsidP="007B48F3">
      <w:pPr>
        <w:jc w:val="center"/>
        <w:outlineLvl w:val="0"/>
        <w:rPr>
          <w:rFonts w:ascii="Times New Roman" w:eastAsia="MS Mincho" w:hAnsi="Times New Roman" w:cs="Times New Roman"/>
          <w:b/>
          <w:sz w:val="36"/>
          <w:szCs w:val="36"/>
        </w:rPr>
      </w:pPr>
    </w:p>
    <w:p w14:paraId="2A2CD85D" w14:textId="77777777" w:rsidR="00076FA2" w:rsidRPr="003E7A04" w:rsidRDefault="00076FA2" w:rsidP="00DB7D29">
      <w:pPr>
        <w:jc w:val="both"/>
        <w:rPr>
          <w:rFonts w:cstheme="minorHAnsi"/>
          <w:b/>
          <w:sz w:val="24"/>
          <w:szCs w:val="24"/>
        </w:rPr>
      </w:pPr>
    </w:p>
    <w:sectPr w:rsidR="00076FA2" w:rsidRPr="003E7A04" w:rsidSect="00EE154D">
      <w:headerReference w:type="default" r:id="rId26"/>
      <w:footerReference w:type="default" r:id="rId27"/>
      <w:pgSz w:w="12240" w:h="15840" w:code="1"/>
      <w:pgMar w:top="1440" w:right="1440" w:bottom="1170" w:left="1440" w:header="360" w:footer="576"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Erin Cowser" w:date="2023-12-05T14:26:00Z" w:initials="EC">
    <w:p w14:paraId="7D7BFA5E" w14:textId="5EEE7EF1" w:rsidR="004C1F3A" w:rsidRDefault="004C1F3A">
      <w:pPr>
        <w:pStyle w:val="CommentText"/>
      </w:pPr>
      <w:r>
        <w:rPr>
          <w:rStyle w:val="CommentReference"/>
        </w:rPr>
        <w:annotationRef/>
      </w:r>
      <w:r>
        <w:t>Should it be a coma after “3” instead of a period?</w:t>
      </w:r>
    </w:p>
  </w:comment>
  <w:comment w:id="4" w:author="Erin Cowser" w:date="2023-12-05T14:27:00Z" w:initials="EC">
    <w:p w14:paraId="562ACD71" w14:textId="02ADE841" w:rsidR="004C1F3A" w:rsidRDefault="004C1F3A">
      <w:pPr>
        <w:pStyle w:val="CommentText"/>
      </w:pPr>
      <w:r>
        <w:rPr>
          <w:rStyle w:val="CommentReference"/>
        </w:rPr>
        <w:annotationRef/>
      </w:r>
      <w:r>
        <w:t>Extra spaces after sentence</w:t>
      </w:r>
    </w:p>
  </w:comment>
  <w:comment w:id="5" w:author="Erin Cowser" w:date="2023-12-05T14:28:00Z" w:initials="EC">
    <w:p w14:paraId="500027F2" w14:textId="0E9F1A7E" w:rsidR="004C1F3A" w:rsidRDefault="004C1F3A">
      <w:pPr>
        <w:pStyle w:val="CommentText"/>
      </w:pPr>
      <w:r>
        <w:rPr>
          <w:rStyle w:val="CommentReference"/>
        </w:rPr>
        <w:annotationRef/>
      </w:r>
      <w:r>
        <w:t>Extra space</w:t>
      </w:r>
    </w:p>
  </w:comment>
  <w:comment w:id="6" w:author="Erin Cowser" w:date="2023-12-05T14:28:00Z" w:initials="EC">
    <w:p w14:paraId="3411D2DE" w14:textId="08C92236" w:rsidR="004C1F3A" w:rsidRDefault="004C1F3A">
      <w:pPr>
        <w:pStyle w:val="CommentText"/>
      </w:pPr>
      <w:r>
        <w:rPr>
          <w:rStyle w:val="CommentReference"/>
        </w:rPr>
        <w:annotationRef/>
      </w:r>
      <w:r>
        <w:t>present</w:t>
      </w:r>
    </w:p>
  </w:comment>
  <w:comment w:id="7" w:author="Erin Cowser" w:date="2023-12-05T14:29:00Z" w:initials="EC">
    <w:p w14:paraId="0770FC70" w14:textId="45601E12" w:rsidR="004C1F3A" w:rsidRDefault="004C1F3A">
      <w:pPr>
        <w:pStyle w:val="CommentText"/>
      </w:pPr>
      <w:r>
        <w:rPr>
          <w:rStyle w:val="CommentReference"/>
        </w:rPr>
        <w:annotationRef/>
      </w:r>
      <w:r>
        <w:t>why new line?</w:t>
      </w:r>
    </w:p>
  </w:comment>
  <w:comment w:id="8" w:author="Erin Cowser" w:date="2023-12-05T14:30:00Z" w:initials="EC">
    <w:p w14:paraId="0C478E20" w14:textId="575E5D68" w:rsidR="004C1F3A" w:rsidRDefault="004C1F3A">
      <w:pPr>
        <w:pStyle w:val="CommentText"/>
      </w:pPr>
      <w:r>
        <w:rPr>
          <w:rStyle w:val="CommentReference"/>
        </w:rPr>
        <w:annotationRef/>
      </w:r>
      <w:r>
        <w:t>Extra space</w:t>
      </w:r>
    </w:p>
  </w:comment>
  <w:comment w:id="9" w:author="Erin Cowser" w:date="2023-12-05T14:31:00Z" w:initials="EC">
    <w:p w14:paraId="7B671EA4" w14:textId="25938D53" w:rsidR="004C1F3A" w:rsidRDefault="004C1F3A">
      <w:pPr>
        <w:pStyle w:val="CommentText"/>
      </w:pPr>
      <w:r>
        <w:rPr>
          <w:rStyle w:val="CommentReference"/>
        </w:rPr>
        <w:annotationRef/>
      </w:r>
      <w:r>
        <w:t>space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D7BFA5E" w15:done="0"/>
  <w15:commentEx w15:paraId="562ACD71" w15:done="0"/>
  <w15:commentEx w15:paraId="500027F2" w15:done="0"/>
  <w15:commentEx w15:paraId="3411D2DE" w15:done="0"/>
  <w15:commentEx w15:paraId="0770FC70" w15:done="0"/>
  <w15:commentEx w15:paraId="0C478E20" w15:done="0"/>
  <w15:commentEx w15:paraId="7B671EA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D7BFA5E" w16cid:durableId="518FDD83"/>
  <w16cid:commentId w16cid:paraId="562ACD71" w16cid:durableId="7577A513"/>
  <w16cid:commentId w16cid:paraId="500027F2" w16cid:durableId="5CEC0186"/>
  <w16cid:commentId w16cid:paraId="3411D2DE" w16cid:durableId="4E7391B0"/>
  <w16cid:commentId w16cid:paraId="0770FC70" w16cid:durableId="602F9651"/>
  <w16cid:commentId w16cid:paraId="0C478E20" w16cid:durableId="71C4144A"/>
  <w16cid:commentId w16cid:paraId="7B671EA4" w16cid:durableId="6C62483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017F10" w14:textId="77777777" w:rsidR="00931686" w:rsidRDefault="00931686" w:rsidP="00F451F0">
      <w:r>
        <w:separator/>
      </w:r>
    </w:p>
  </w:endnote>
  <w:endnote w:type="continuationSeparator" w:id="0">
    <w:p w14:paraId="63240DDE" w14:textId="77777777" w:rsidR="00931686" w:rsidRDefault="00931686" w:rsidP="00F451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gency FB">
    <w:altName w:val="Malgun Gothic"/>
    <w:panose1 w:val="020B0503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6905F" w14:textId="7252C7DC" w:rsidR="00052058" w:rsidRPr="001C42B0" w:rsidRDefault="00052058">
    <w:pPr>
      <w:pStyle w:val="Footer"/>
      <w:rPr>
        <w:rFonts w:ascii="Georgia" w:hAnsi="Georgia"/>
        <w:color w:val="2E74B5" w:themeColor="accent1" w:themeShade="BF"/>
      </w:rPr>
    </w:pPr>
    <w:r w:rsidRPr="001C42B0">
      <w:rPr>
        <w:rFonts w:ascii="Georgia" w:hAnsi="Georgia"/>
        <w:color w:val="2E74B5" w:themeColor="accent1" w:themeShade="BF"/>
      </w:rPr>
      <w:t>LEQTF | 202</w:t>
    </w:r>
    <w:r>
      <w:rPr>
        <w:rFonts w:ascii="Georgia" w:hAnsi="Georgia"/>
        <w:color w:val="2E74B5" w:themeColor="accent1" w:themeShade="BF"/>
      </w:rPr>
      <w:t>3</w:t>
    </w:r>
    <w:r w:rsidRPr="001C42B0">
      <w:rPr>
        <w:rFonts w:ascii="Georgia" w:hAnsi="Georgia"/>
        <w:color w:val="2E74B5" w:themeColor="accent1" w:themeShade="BF"/>
      </w:rPr>
      <w:t xml:space="preserve"> Annual Report</w:t>
    </w:r>
    <w:r w:rsidRPr="001C42B0">
      <w:rPr>
        <w:rFonts w:ascii="Georgia" w:hAnsi="Georgia"/>
        <w:color w:val="2E74B5" w:themeColor="accent1" w:themeShade="BF"/>
      </w:rPr>
      <w:tab/>
    </w:r>
    <w:r w:rsidRPr="001C42B0">
      <w:rPr>
        <w:rFonts w:ascii="Georgia" w:hAnsi="Georgia"/>
        <w:color w:val="2E74B5" w:themeColor="accent1" w:themeShade="BF"/>
      </w:rPr>
      <w:tab/>
    </w:r>
    <w:sdt>
      <w:sdtPr>
        <w:rPr>
          <w:rFonts w:ascii="Georgia" w:hAnsi="Georgia"/>
          <w:color w:val="2E74B5" w:themeColor="accent1" w:themeShade="BF"/>
        </w:rPr>
        <w:id w:val="-68114413"/>
        <w:docPartObj>
          <w:docPartGallery w:val="Page Numbers (Bottom of Page)"/>
          <w:docPartUnique/>
        </w:docPartObj>
      </w:sdtPr>
      <w:sdtEndPr>
        <w:rPr>
          <w:noProof/>
        </w:rPr>
      </w:sdtEndPr>
      <w:sdtContent>
        <w:r w:rsidRPr="001C42B0">
          <w:rPr>
            <w:rFonts w:ascii="Georgia" w:hAnsi="Georgia"/>
            <w:color w:val="2E74B5" w:themeColor="accent1" w:themeShade="BF"/>
          </w:rPr>
          <w:t xml:space="preserve">Page | </w:t>
        </w:r>
        <w:r w:rsidRPr="001C42B0">
          <w:rPr>
            <w:rFonts w:ascii="Georgia" w:hAnsi="Georgia"/>
            <w:color w:val="2E74B5" w:themeColor="accent1" w:themeShade="BF"/>
          </w:rPr>
          <w:fldChar w:fldCharType="begin"/>
        </w:r>
        <w:r w:rsidRPr="001C42B0">
          <w:rPr>
            <w:rFonts w:ascii="Georgia" w:hAnsi="Georgia"/>
            <w:color w:val="2E74B5" w:themeColor="accent1" w:themeShade="BF"/>
          </w:rPr>
          <w:instrText xml:space="preserve"> PAGE   \* MERGEFORMAT </w:instrText>
        </w:r>
        <w:r w:rsidRPr="001C42B0">
          <w:rPr>
            <w:rFonts w:ascii="Georgia" w:hAnsi="Georgia"/>
            <w:color w:val="2E74B5" w:themeColor="accent1" w:themeShade="BF"/>
          </w:rPr>
          <w:fldChar w:fldCharType="separate"/>
        </w:r>
        <w:r w:rsidR="004C1F3A">
          <w:rPr>
            <w:rFonts w:ascii="Georgia" w:hAnsi="Georgia"/>
            <w:noProof/>
            <w:color w:val="2E74B5" w:themeColor="accent1" w:themeShade="BF"/>
          </w:rPr>
          <w:t>21</w:t>
        </w:r>
        <w:r w:rsidRPr="001C42B0">
          <w:rPr>
            <w:rFonts w:ascii="Georgia" w:hAnsi="Georgia"/>
            <w:noProof/>
            <w:color w:val="2E74B5" w:themeColor="accent1" w:themeShade="BF"/>
          </w:rPr>
          <w:fldChar w:fldCharType="end"/>
        </w:r>
      </w:sdtContent>
    </w:sdt>
  </w:p>
  <w:p w14:paraId="164D53C5" w14:textId="77777777" w:rsidR="00052058" w:rsidRDefault="000520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7355B" w14:textId="77777777" w:rsidR="00931686" w:rsidRDefault="00931686" w:rsidP="00F451F0">
      <w:r>
        <w:separator/>
      </w:r>
    </w:p>
  </w:footnote>
  <w:footnote w:type="continuationSeparator" w:id="0">
    <w:p w14:paraId="39533385" w14:textId="77777777" w:rsidR="00931686" w:rsidRDefault="00931686" w:rsidP="00F451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408FD" w14:textId="77777777" w:rsidR="00052058" w:rsidRDefault="00052058" w:rsidP="002B7D9B">
    <w:pPr>
      <w:pStyle w:val="Header"/>
      <w:jc w:val="center"/>
      <w:rPr>
        <w:b/>
        <w:color w:val="2E74B5" w:themeColor="accent1" w:themeShade="BF"/>
        <w:sz w:val="36"/>
        <w:szCs w:val="36"/>
      </w:rPr>
    </w:pPr>
  </w:p>
  <w:p w14:paraId="07F993C7" w14:textId="77777777" w:rsidR="00052058" w:rsidRPr="001C42B0" w:rsidRDefault="00052058" w:rsidP="002B7D9B">
    <w:pPr>
      <w:pStyle w:val="Header"/>
      <w:jc w:val="center"/>
      <w:rPr>
        <w:rFonts w:ascii="Georgia" w:hAnsi="Georgia"/>
        <w:b/>
        <w:color w:val="2E74B5" w:themeColor="accent1" w:themeShade="BF"/>
        <w:sz w:val="28"/>
        <w:szCs w:val="28"/>
      </w:rPr>
    </w:pPr>
    <w:r w:rsidRPr="001C42B0">
      <w:rPr>
        <w:rFonts w:ascii="Georgia" w:hAnsi="Georgia"/>
        <w:b/>
        <w:color w:val="2E74B5" w:themeColor="accent1" w:themeShade="BF"/>
        <w:sz w:val="28"/>
        <w:szCs w:val="28"/>
      </w:rPr>
      <w:t>The Kevin P. Reilly, Sr. Louisiana Education Quality Trust Fund</w:t>
    </w:r>
  </w:p>
  <w:p w14:paraId="0CA6DFCF" w14:textId="2A5A74D2" w:rsidR="00052058" w:rsidRDefault="00052058" w:rsidP="002B7D9B">
    <w:pPr>
      <w:pStyle w:val="Header"/>
      <w:jc w:val="center"/>
      <w:rPr>
        <w:rFonts w:ascii="Georgia" w:hAnsi="Georgia"/>
        <w:b/>
        <w:color w:val="2E74B5" w:themeColor="accent1" w:themeShade="BF"/>
        <w:sz w:val="28"/>
        <w:szCs w:val="28"/>
      </w:rPr>
    </w:pPr>
    <w:r w:rsidRPr="001C42B0">
      <w:rPr>
        <w:rFonts w:ascii="Georgia" w:hAnsi="Georgia"/>
        <w:b/>
        <w:color w:val="2E74B5" w:themeColor="accent1" w:themeShade="BF"/>
        <w:sz w:val="28"/>
        <w:szCs w:val="28"/>
      </w:rPr>
      <w:t xml:space="preserve">Annual Report for Fiscal Year </w:t>
    </w:r>
    <w:r>
      <w:rPr>
        <w:rFonts w:ascii="Georgia" w:hAnsi="Georgia"/>
        <w:b/>
        <w:color w:val="2E74B5" w:themeColor="accent1" w:themeShade="BF"/>
        <w:sz w:val="28"/>
        <w:szCs w:val="28"/>
      </w:rPr>
      <w:t>2022-</w:t>
    </w:r>
    <w:r w:rsidR="00E27A63">
      <w:rPr>
        <w:rFonts w:ascii="Georgia" w:hAnsi="Georgia"/>
        <w:b/>
        <w:color w:val="2E74B5" w:themeColor="accent1" w:themeShade="BF"/>
        <w:sz w:val="28"/>
        <w:szCs w:val="28"/>
      </w:rPr>
      <w:t>20</w:t>
    </w:r>
    <w:r>
      <w:rPr>
        <w:rFonts w:ascii="Georgia" w:hAnsi="Georgia"/>
        <w:b/>
        <w:color w:val="2E74B5" w:themeColor="accent1" w:themeShade="BF"/>
        <w:sz w:val="28"/>
        <w:szCs w:val="28"/>
      </w:rPr>
      <w:t>23</w:t>
    </w:r>
  </w:p>
  <w:p w14:paraId="78E4C99C" w14:textId="77777777" w:rsidR="00052058" w:rsidRDefault="00052058" w:rsidP="006507A9">
    <w:pPr>
      <w:pStyle w:val="Header"/>
      <w:rPr>
        <w:rFonts w:ascii="Georgia" w:hAnsi="Georgia"/>
        <w:b/>
        <w:color w:val="2E74B5" w:themeColor="accent1" w:themeShade="BF"/>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E397A"/>
    <w:multiLevelType w:val="hybridMultilevel"/>
    <w:tmpl w:val="75D4E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6E2247"/>
    <w:multiLevelType w:val="hybridMultilevel"/>
    <w:tmpl w:val="B304194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F46136C"/>
    <w:multiLevelType w:val="hybridMultilevel"/>
    <w:tmpl w:val="B62C4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440721"/>
    <w:multiLevelType w:val="hybridMultilevel"/>
    <w:tmpl w:val="EE04D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E930D4"/>
    <w:multiLevelType w:val="hybridMultilevel"/>
    <w:tmpl w:val="CAE66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CF4A40"/>
    <w:multiLevelType w:val="hybridMultilevel"/>
    <w:tmpl w:val="2024610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99008F1"/>
    <w:multiLevelType w:val="hybridMultilevel"/>
    <w:tmpl w:val="72EA0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070B25"/>
    <w:multiLevelType w:val="hybridMultilevel"/>
    <w:tmpl w:val="6B9A9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81F1FB3"/>
    <w:multiLevelType w:val="hybridMultilevel"/>
    <w:tmpl w:val="3AAEA68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057D9F"/>
    <w:multiLevelType w:val="hybridMultilevel"/>
    <w:tmpl w:val="04E8A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6915B1"/>
    <w:multiLevelType w:val="hybridMultilevel"/>
    <w:tmpl w:val="BDF03D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2096C58"/>
    <w:multiLevelType w:val="hybridMultilevel"/>
    <w:tmpl w:val="8D5EF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633A19"/>
    <w:multiLevelType w:val="hybridMultilevel"/>
    <w:tmpl w:val="2E1AF6EA"/>
    <w:lvl w:ilvl="0" w:tplc="FBACB04C">
      <w:start w:val="1"/>
      <w:numFmt w:val="upperRoman"/>
      <w:lvlText w:val="%1."/>
      <w:lvlJc w:val="righ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A45B21"/>
    <w:multiLevelType w:val="hybridMultilevel"/>
    <w:tmpl w:val="710C3B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6F601455"/>
    <w:multiLevelType w:val="hybridMultilevel"/>
    <w:tmpl w:val="64D6D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3B1890"/>
    <w:multiLevelType w:val="hybridMultilevel"/>
    <w:tmpl w:val="785CF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7CC27C15"/>
    <w:multiLevelType w:val="hybridMultilevel"/>
    <w:tmpl w:val="ED403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5440786">
    <w:abstractNumId w:val="3"/>
  </w:num>
  <w:num w:numId="2" w16cid:durableId="1378968912">
    <w:abstractNumId w:val="4"/>
  </w:num>
  <w:num w:numId="3" w16cid:durableId="1609967169">
    <w:abstractNumId w:val="2"/>
  </w:num>
  <w:num w:numId="4" w16cid:durableId="46732024">
    <w:abstractNumId w:val="6"/>
  </w:num>
  <w:num w:numId="5" w16cid:durableId="730225657">
    <w:abstractNumId w:val="16"/>
  </w:num>
  <w:num w:numId="6" w16cid:durableId="1627858788">
    <w:abstractNumId w:val="8"/>
  </w:num>
  <w:num w:numId="7" w16cid:durableId="1328364668">
    <w:abstractNumId w:val="11"/>
  </w:num>
  <w:num w:numId="8" w16cid:durableId="1639915136">
    <w:abstractNumId w:val="0"/>
  </w:num>
  <w:num w:numId="9" w16cid:durableId="2016758001">
    <w:abstractNumId w:val="9"/>
  </w:num>
  <w:num w:numId="10" w16cid:durableId="146287500">
    <w:abstractNumId w:val="14"/>
  </w:num>
  <w:num w:numId="11" w16cid:durableId="847216372">
    <w:abstractNumId w:val="15"/>
  </w:num>
  <w:num w:numId="12" w16cid:durableId="291398959">
    <w:abstractNumId w:val="10"/>
  </w:num>
  <w:num w:numId="13" w16cid:durableId="44658709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4952175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614237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59791642">
    <w:abstractNumId w:val="7"/>
  </w:num>
  <w:num w:numId="17" w16cid:durableId="1801343844">
    <w:abstractNumId w:val="13"/>
  </w:num>
  <w:num w:numId="18" w16cid:durableId="1253901221">
    <w:abstractNumId w:val="5"/>
  </w:num>
  <w:num w:numId="19" w16cid:durableId="1278836257">
    <w:abstractNumId w:val="9"/>
  </w:num>
  <w:num w:numId="20" w16cid:durableId="234244084">
    <w:abstractNumId w:val="14"/>
  </w:num>
  <w:num w:numId="21" w16cid:durableId="665717006">
    <w:abstractNumId w:val="0"/>
  </w:num>
  <w:num w:numId="22" w16cid:durableId="100877619">
    <w:abstractNumId w:val="11"/>
  </w:num>
  <w:num w:numId="23" w16cid:durableId="2090692198">
    <w:abstractNumId w:val="12"/>
  </w:num>
  <w:num w:numId="24" w16cid:durableId="17944727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in Cowser">
    <w15:presenceInfo w15:providerId="AD" w15:userId="S-1-5-21-1699223040-1798135121-1849977318-153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B15"/>
    <w:rsid w:val="00006BDE"/>
    <w:rsid w:val="0001449C"/>
    <w:rsid w:val="000216DA"/>
    <w:rsid w:val="00022343"/>
    <w:rsid w:val="00037C08"/>
    <w:rsid w:val="00040663"/>
    <w:rsid w:val="00040DF2"/>
    <w:rsid w:val="00052058"/>
    <w:rsid w:val="00072109"/>
    <w:rsid w:val="00073041"/>
    <w:rsid w:val="0007531C"/>
    <w:rsid w:val="00076FA2"/>
    <w:rsid w:val="00077F79"/>
    <w:rsid w:val="00081CF9"/>
    <w:rsid w:val="000829D4"/>
    <w:rsid w:val="000A0A55"/>
    <w:rsid w:val="000B070C"/>
    <w:rsid w:val="000B75EB"/>
    <w:rsid w:val="00103F89"/>
    <w:rsid w:val="00104273"/>
    <w:rsid w:val="00107E29"/>
    <w:rsid w:val="00110FD9"/>
    <w:rsid w:val="00114458"/>
    <w:rsid w:val="00116BEA"/>
    <w:rsid w:val="00117536"/>
    <w:rsid w:val="00125C65"/>
    <w:rsid w:val="00130B97"/>
    <w:rsid w:val="00133B36"/>
    <w:rsid w:val="0013464E"/>
    <w:rsid w:val="001357A8"/>
    <w:rsid w:val="00137A98"/>
    <w:rsid w:val="0014335A"/>
    <w:rsid w:val="001448FB"/>
    <w:rsid w:val="0016324A"/>
    <w:rsid w:val="00172216"/>
    <w:rsid w:val="001775F3"/>
    <w:rsid w:val="00192300"/>
    <w:rsid w:val="001B3950"/>
    <w:rsid w:val="001B4AD1"/>
    <w:rsid w:val="001C42B0"/>
    <w:rsid w:val="001D07FF"/>
    <w:rsid w:val="001D5D14"/>
    <w:rsid w:val="001F245F"/>
    <w:rsid w:val="001F35C7"/>
    <w:rsid w:val="0021599C"/>
    <w:rsid w:val="00220FFF"/>
    <w:rsid w:val="00250B7B"/>
    <w:rsid w:val="00250CB3"/>
    <w:rsid w:val="002547C8"/>
    <w:rsid w:val="00257355"/>
    <w:rsid w:val="002710BA"/>
    <w:rsid w:val="002764A0"/>
    <w:rsid w:val="00297923"/>
    <w:rsid w:val="002A2383"/>
    <w:rsid w:val="002A7541"/>
    <w:rsid w:val="002A7D38"/>
    <w:rsid w:val="002B7D9B"/>
    <w:rsid w:val="002C17ED"/>
    <w:rsid w:val="002C61EA"/>
    <w:rsid w:val="002C6E24"/>
    <w:rsid w:val="002D2B15"/>
    <w:rsid w:val="002E3679"/>
    <w:rsid w:val="002E3CD0"/>
    <w:rsid w:val="002E6C45"/>
    <w:rsid w:val="002F4584"/>
    <w:rsid w:val="002F62CD"/>
    <w:rsid w:val="002F767A"/>
    <w:rsid w:val="00307FBF"/>
    <w:rsid w:val="003256CB"/>
    <w:rsid w:val="003378C1"/>
    <w:rsid w:val="00343327"/>
    <w:rsid w:val="00353976"/>
    <w:rsid w:val="00355817"/>
    <w:rsid w:val="00366610"/>
    <w:rsid w:val="00380095"/>
    <w:rsid w:val="0039246D"/>
    <w:rsid w:val="003A41C3"/>
    <w:rsid w:val="003B521F"/>
    <w:rsid w:val="003C0C5E"/>
    <w:rsid w:val="003C62A2"/>
    <w:rsid w:val="003D38C6"/>
    <w:rsid w:val="003D7F45"/>
    <w:rsid w:val="003E27CA"/>
    <w:rsid w:val="003E6DF2"/>
    <w:rsid w:val="003E73D0"/>
    <w:rsid w:val="003E75D2"/>
    <w:rsid w:val="003E7A04"/>
    <w:rsid w:val="00403876"/>
    <w:rsid w:val="00427A34"/>
    <w:rsid w:val="00474C51"/>
    <w:rsid w:val="004807EE"/>
    <w:rsid w:val="00486079"/>
    <w:rsid w:val="00487D65"/>
    <w:rsid w:val="0049081D"/>
    <w:rsid w:val="00490C15"/>
    <w:rsid w:val="004919B2"/>
    <w:rsid w:val="004A03C2"/>
    <w:rsid w:val="004A066C"/>
    <w:rsid w:val="004A0C1B"/>
    <w:rsid w:val="004C1F3A"/>
    <w:rsid w:val="004D4B5C"/>
    <w:rsid w:val="004E1AA3"/>
    <w:rsid w:val="0050495F"/>
    <w:rsid w:val="00506322"/>
    <w:rsid w:val="00507FBD"/>
    <w:rsid w:val="005125BC"/>
    <w:rsid w:val="00515CC5"/>
    <w:rsid w:val="0052563A"/>
    <w:rsid w:val="005354BB"/>
    <w:rsid w:val="00536A45"/>
    <w:rsid w:val="00546EAD"/>
    <w:rsid w:val="00551FE6"/>
    <w:rsid w:val="00580596"/>
    <w:rsid w:val="00596EF4"/>
    <w:rsid w:val="005A2334"/>
    <w:rsid w:val="005A3825"/>
    <w:rsid w:val="005B77DD"/>
    <w:rsid w:val="005B7C7A"/>
    <w:rsid w:val="005C37E9"/>
    <w:rsid w:val="005D45C1"/>
    <w:rsid w:val="005E422A"/>
    <w:rsid w:val="005E59A1"/>
    <w:rsid w:val="005E6A01"/>
    <w:rsid w:val="005F32A0"/>
    <w:rsid w:val="005F474A"/>
    <w:rsid w:val="006019A3"/>
    <w:rsid w:val="006052E9"/>
    <w:rsid w:val="00615CD2"/>
    <w:rsid w:val="006377C0"/>
    <w:rsid w:val="006507A9"/>
    <w:rsid w:val="006529F4"/>
    <w:rsid w:val="00652D78"/>
    <w:rsid w:val="0066035C"/>
    <w:rsid w:val="0066429A"/>
    <w:rsid w:val="00664CAB"/>
    <w:rsid w:val="006739E3"/>
    <w:rsid w:val="00674A43"/>
    <w:rsid w:val="006818AE"/>
    <w:rsid w:val="006875BA"/>
    <w:rsid w:val="00690096"/>
    <w:rsid w:val="006921DA"/>
    <w:rsid w:val="00696E8A"/>
    <w:rsid w:val="00697BD3"/>
    <w:rsid w:val="006B36AC"/>
    <w:rsid w:val="006C550C"/>
    <w:rsid w:val="006D1E36"/>
    <w:rsid w:val="006E0B89"/>
    <w:rsid w:val="006F233A"/>
    <w:rsid w:val="006F5D6E"/>
    <w:rsid w:val="007005F7"/>
    <w:rsid w:val="00706F0E"/>
    <w:rsid w:val="00720970"/>
    <w:rsid w:val="0072616B"/>
    <w:rsid w:val="00737419"/>
    <w:rsid w:val="00742C6D"/>
    <w:rsid w:val="00747B5F"/>
    <w:rsid w:val="00747C41"/>
    <w:rsid w:val="0075245B"/>
    <w:rsid w:val="007547F6"/>
    <w:rsid w:val="00776A55"/>
    <w:rsid w:val="00776BD0"/>
    <w:rsid w:val="00784185"/>
    <w:rsid w:val="007919A3"/>
    <w:rsid w:val="00791EA4"/>
    <w:rsid w:val="0079288D"/>
    <w:rsid w:val="007979A9"/>
    <w:rsid w:val="007A65C0"/>
    <w:rsid w:val="007B09FB"/>
    <w:rsid w:val="007B48F3"/>
    <w:rsid w:val="007C4078"/>
    <w:rsid w:val="007D27DF"/>
    <w:rsid w:val="007D3073"/>
    <w:rsid w:val="007D550C"/>
    <w:rsid w:val="007D5BF8"/>
    <w:rsid w:val="007D6584"/>
    <w:rsid w:val="007E1665"/>
    <w:rsid w:val="007E1A39"/>
    <w:rsid w:val="007F35EE"/>
    <w:rsid w:val="007F5D82"/>
    <w:rsid w:val="00805197"/>
    <w:rsid w:val="00807009"/>
    <w:rsid w:val="00817661"/>
    <w:rsid w:val="008273CD"/>
    <w:rsid w:val="0083400E"/>
    <w:rsid w:val="008355BD"/>
    <w:rsid w:val="00852F77"/>
    <w:rsid w:val="0085395F"/>
    <w:rsid w:val="0085659F"/>
    <w:rsid w:val="00861FF9"/>
    <w:rsid w:val="00867439"/>
    <w:rsid w:val="00897088"/>
    <w:rsid w:val="008B3C1F"/>
    <w:rsid w:val="008B53B7"/>
    <w:rsid w:val="008B7AEE"/>
    <w:rsid w:val="008D0DAF"/>
    <w:rsid w:val="008D3241"/>
    <w:rsid w:val="008D3B48"/>
    <w:rsid w:val="008E1327"/>
    <w:rsid w:val="008F5BEE"/>
    <w:rsid w:val="008F71BE"/>
    <w:rsid w:val="00901209"/>
    <w:rsid w:val="00903703"/>
    <w:rsid w:val="00905E0F"/>
    <w:rsid w:val="00911932"/>
    <w:rsid w:val="00912DED"/>
    <w:rsid w:val="009142ED"/>
    <w:rsid w:val="0091713B"/>
    <w:rsid w:val="00920940"/>
    <w:rsid w:val="00931686"/>
    <w:rsid w:val="009478D9"/>
    <w:rsid w:val="00951E66"/>
    <w:rsid w:val="00964612"/>
    <w:rsid w:val="00965757"/>
    <w:rsid w:val="00967CDF"/>
    <w:rsid w:val="00971ACA"/>
    <w:rsid w:val="009763D4"/>
    <w:rsid w:val="0098086F"/>
    <w:rsid w:val="00997DB4"/>
    <w:rsid w:val="009A5734"/>
    <w:rsid w:val="009A5B4C"/>
    <w:rsid w:val="009A6C5E"/>
    <w:rsid w:val="009B6513"/>
    <w:rsid w:val="009C705F"/>
    <w:rsid w:val="009E1CDA"/>
    <w:rsid w:val="009E752A"/>
    <w:rsid w:val="009F58A0"/>
    <w:rsid w:val="00A16B5C"/>
    <w:rsid w:val="00A178BE"/>
    <w:rsid w:val="00A34A53"/>
    <w:rsid w:val="00A428F5"/>
    <w:rsid w:val="00A50750"/>
    <w:rsid w:val="00A65B0B"/>
    <w:rsid w:val="00A73E80"/>
    <w:rsid w:val="00A762CC"/>
    <w:rsid w:val="00A76F75"/>
    <w:rsid w:val="00A7721F"/>
    <w:rsid w:val="00A816F7"/>
    <w:rsid w:val="00A863D0"/>
    <w:rsid w:val="00A95A5F"/>
    <w:rsid w:val="00AA0B4E"/>
    <w:rsid w:val="00AA2F9A"/>
    <w:rsid w:val="00AB7C21"/>
    <w:rsid w:val="00AC1097"/>
    <w:rsid w:val="00AD7400"/>
    <w:rsid w:val="00AE3A7C"/>
    <w:rsid w:val="00AE5485"/>
    <w:rsid w:val="00AE7DE0"/>
    <w:rsid w:val="00B039F0"/>
    <w:rsid w:val="00B0546D"/>
    <w:rsid w:val="00B06795"/>
    <w:rsid w:val="00B06B21"/>
    <w:rsid w:val="00B41903"/>
    <w:rsid w:val="00B423CB"/>
    <w:rsid w:val="00B42A3A"/>
    <w:rsid w:val="00B5283A"/>
    <w:rsid w:val="00B53781"/>
    <w:rsid w:val="00B64525"/>
    <w:rsid w:val="00B6799C"/>
    <w:rsid w:val="00B80732"/>
    <w:rsid w:val="00B86DBD"/>
    <w:rsid w:val="00B90520"/>
    <w:rsid w:val="00B92E2D"/>
    <w:rsid w:val="00B92E42"/>
    <w:rsid w:val="00BA3303"/>
    <w:rsid w:val="00BA397C"/>
    <w:rsid w:val="00BA73B8"/>
    <w:rsid w:val="00BC04ED"/>
    <w:rsid w:val="00BD0E6F"/>
    <w:rsid w:val="00BE0BCC"/>
    <w:rsid w:val="00C02740"/>
    <w:rsid w:val="00C02B0A"/>
    <w:rsid w:val="00C4300E"/>
    <w:rsid w:val="00C46E7A"/>
    <w:rsid w:val="00C56F7D"/>
    <w:rsid w:val="00C6034F"/>
    <w:rsid w:val="00C75001"/>
    <w:rsid w:val="00C8108A"/>
    <w:rsid w:val="00C938DE"/>
    <w:rsid w:val="00C94966"/>
    <w:rsid w:val="00CA639F"/>
    <w:rsid w:val="00CB5720"/>
    <w:rsid w:val="00CC0D1B"/>
    <w:rsid w:val="00CC2AF6"/>
    <w:rsid w:val="00CC7642"/>
    <w:rsid w:val="00CD589E"/>
    <w:rsid w:val="00CD6574"/>
    <w:rsid w:val="00CD6A14"/>
    <w:rsid w:val="00CE5290"/>
    <w:rsid w:val="00CE556E"/>
    <w:rsid w:val="00CF6DE7"/>
    <w:rsid w:val="00D11D12"/>
    <w:rsid w:val="00D12CB4"/>
    <w:rsid w:val="00D23F87"/>
    <w:rsid w:val="00D32395"/>
    <w:rsid w:val="00D44495"/>
    <w:rsid w:val="00D609B3"/>
    <w:rsid w:val="00D65DDC"/>
    <w:rsid w:val="00D67C0C"/>
    <w:rsid w:val="00D67EEB"/>
    <w:rsid w:val="00D71762"/>
    <w:rsid w:val="00D7557D"/>
    <w:rsid w:val="00D7677E"/>
    <w:rsid w:val="00D77D53"/>
    <w:rsid w:val="00D8476F"/>
    <w:rsid w:val="00D910A1"/>
    <w:rsid w:val="00D92B3F"/>
    <w:rsid w:val="00D93D27"/>
    <w:rsid w:val="00D97AE5"/>
    <w:rsid w:val="00D97C88"/>
    <w:rsid w:val="00DA3D13"/>
    <w:rsid w:val="00DA5646"/>
    <w:rsid w:val="00DB0941"/>
    <w:rsid w:val="00DB1A8E"/>
    <w:rsid w:val="00DB3F6C"/>
    <w:rsid w:val="00DB7D29"/>
    <w:rsid w:val="00DF3754"/>
    <w:rsid w:val="00E00CF6"/>
    <w:rsid w:val="00E255DE"/>
    <w:rsid w:val="00E27A63"/>
    <w:rsid w:val="00E50B5E"/>
    <w:rsid w:val="00E51F64"/>
    <w:rsid w:val="00E602F7"/>
    <w:rsid w:val="00E71606"/>
    <w:rsid w:val="00E7609F"/>
    <w:rsid w:val="00E81001"/>
    <w:rsid w:val="00E92FDC"/>
    <w:rsid w:val="00EA4787"/>
    <w:rsid w:val="00EB09F3"/>
    <w:rsid w:val="00EB780B"/>
    <w:rsid w:val="00EC5F60"/>
    <w:rsid w:val="00ED1E55"/>
    <w:rsid w:val="00ED54EB"/>
    <w:rsid w:val="00EE154D"/>
    <w:rsid w:val="00EF2339"/>
    <w:rsid w:val="00EF2827"/>
    <w:rsid w:val="00EF41B6"/>
    <w:rsid w:val="00F02443"/>
    <w:rsid w:val="00F0790C"/>
    <w:rsid w:val="00F20C3E"/>
    <w:rsid w:val="00F26C21"/>
    <w:rsid w:val="00F30ACA"/>
    <w:rsid w:val="00F3200D"/>
    <w:rsid w:val="00F32ABF"/>
    <w:rsid w:val="00F34C0E"/>
    <w:rsid w:val="00F43BF7"/>
    <w:rsid w:val="00F43C57"/>
    <w:rsid w:val="00F451F0"/>
    <w:rsid w:val="00F52B76"/>
    <w:rsid w:val="00F57EEE"/>
    <w:rsid w:val="00F653DB"/>
    <w:rsid w:val="00F7722A"/>
    <w:rsid w:val="00F9066D"/>
    <w:rsid w:val="00F94248"/>
    <w:rsid w:val="00FA7700"/>
    <w:rsid w:val="00FB043E"/>
    <w:rsid w:val="00FB47D7"/>
    <w:rsid w:val="00FB4F0B"/>
    <w:rsid w:val="00FB7405"/>
    <w:rsid w:val="00FC2173"/>
    <w:rsid w:val="00FE5DD6"/>
    <w:rsid w:val="00FF0EEE"/>
    <w:rsid w:val="00FF15C7"/>
    <w:rsid w:val="00FF61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12F36A"/>
  <w15:chartTrackingRefBased/>
  <w15:docId w15:val="{10BBD95F-4B93-4EEA-82F3-C82962C93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51F0"/>
    <w:pPr>
      <w:tabs>
        <w:tab w:val="center" w:pos="4680"/>
        <w:tab w:val="right" w:pos="9360"/>
      </w:tabs>
    </w:pPr>
  </w:style>
  <w:style w:type="character" w:customStyle="1" w:styleId="HeaderChar">
    <w:name w:val="Header Char"/>
    <w:basedOn w:val="DefaultParagraphFont"/>
    <w:link w:val="Header"/>
    <w:uiPriority w:val="99"/>
    <w:rsid w:val="00F451F0"/>
  </w:style>
  <w:style w:type="paragraph" w:styleId="Footer">
    <w:name w:val="footer"/>
    <w:basedOn w:val="Normal"/>
    <w:link w:val="FooterChar"/>
    <w:uiPriority w:val="99"/>
    <w:unhideWhenUsed/>
    <w:rsid w:val="00F451F0"/>
    <w:pPr>
      <w:tabs>
        <w:tab w:val="center" w:pos="4680"/>
        <w:tab w:val="right" w:pos="9360"/>
      </w:tabs>
    </w:pPr>
  </w:style>
  <w:style w:type="character" w:customStyle="1" w:styleId="FooterChar">
    <w:name w:val="Footer Char"/>
    <w:basedOn w:val="DefaultParagraphFont"/>
    <w:link w:val="Footer"/>
    <w:uiPriority w:val="99"/>
    <w:rsid w:val="00F451F0"/>
  </w:style>
  <w:style w:type="paragraph" w:styleId="NormalWeb">
    <w:name w:val="Normal (Web)"/>
    <w:basedOn w:val="Normal"/>
    <w:uiPriority w:val="99"/>
    <w:semiHidden/>
    <w:unhideWhenUsed/>
    <w:rsid w:val="00D32395"/>
    <w:pPr>
      <w:spacing w:before="100" w:beforeAutospacing="1" w:after="100" w:afterAutospacing="1"/>
    </w:pPr>
    <w:rPr>
      <w:rFonts w:ascii="Times New Roman" w:eastAsiaTheme="minorEastAsia" w:hAnsi="Times New Roman" w:cs="Times New Roman"/>
      <w:sz w:val="24"/>
      <w:szCs w:val="24"/>
    </w:rPr>
  </w:style>
  <w:style w:type="paragraph" w:styleId="ListParagraph">
    <w:name w:val="List Paragraph"/>
    <w:basedOn w:val="Normal"/>
    <w:uiPriority w:val="34"/>
    <w:qFormat/>
    <w:rsid w:val="009478D9"/>
    <w:pPr>
      <w:ind w:left="720"/>
      <w:contextualSpacing/>
    </w:pPr>
  </w:style>
  <w:style w:type="character" w:styleId="Hyperlink">
    <w:name w:val="Hyperlink"/>
    <w:rsid w:val="00742C6D"/>
  </w:style>
  <w:style w:type="table" w:styleId="TableGrid">
    <w:name w:val="Table Grid"/>
    <w:basedOn w:val="TableNormal"/>
    <w:uiPriority w:val="39"/>
    <w:rsid w:val="00B067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019A3"/>
    <w:rPr>
      <w:sz w:val="16"/>
      <w:szCs w:val="16"/>
    </w:rPr>
  </w:style>
  <w:style w:type="paragraph" w:styleId="CommentText">
    <w:name w:val="annotation text"/>
    <w:basedOn w:val="Normal"/>
    <w:link w:val="CommentTextChar"/>
    <w:uiPriority w:val="99"/>
    <w:semiHidden/>
    <w:unhideWhenUsed/>
    <w:rsid w:val="006019A3"/>
    <w:rPr>
      <w:sz w:val="20"/>
      <w:szCs w:val="20"/>
    </w:rPr>
  </w:style>
  <w:style w:type="character" w:customStyle="1" w:styleId="CommentTextChar">
    <w:name w:val="Comment Text Char"/>
    <w:basedOn w:val="DefaultParagraphFont"/>
    <w:link w:val="CommentText"/>
    <w:uiPriority w:val="99"/>
    <w:semiHidden/>
    <w:rsid w:val="006019A3"/>
    <w:rPr>
      <w:sz w:val="20"/>
      <w:szCs w:val="20"/>
    </w:rPr>
  </w:style>
  <w:style w:type="paragraph" w:styleId="CommentSubject">
    <w:name w:val="annotation subject"/>
    <w:basedOn w:val="CommentText"/>
    <w:next w:val="CommentText"/>
    <w:link w:val="CommentSubjectChar"/>
    <w:uiPriority w:val="99"/>
    <w:semiHidden/>
    <w:unhideWhenUsed/>
    <w:rsid w:val="006019A3"/>
    <w:rPr>
      <w:b/>
      <w:bCs/>
    </w:rPr>
  </w:style>
  <w:style w:type="character" w:customStyle="1" w:styleId="CommentSubjectChar">
    <w:name w:val="Comment Subject Char"/>
    <w:basedOn w:val="CommentTextChar"/>
    <w:link w:val="CommentSubject"/>
    <w:uiPriority w:val="99"/>
    <w:semiHidden/>
    <w:rsid w:val="006019A3"/>
    <w:rPr>
      <w:b/>
      <w:bCs/>
      <w:sz w:val="20"/>
      <w:szCs w:val="20"/>
    </w:rPr>
  </w:style>
  <w:style w:type="paragraph" w:styleId="Revision">
    <w:name w:val="Revision"/>
    <w:hidden/>
    <w:uiPriority w:val="99"/>
    <w:semiHidden/>
    <w:rsid w:val="006019A3"/>
  </w:style>
  <w:style w:type="paragraph" w:styleId="BalloonText">
    <w:name w:val="Balloon Text"/>
    <w:basedOn w:val="Normal"/>
    <w:link w:val="BalloonTextChar"/>
    <w:uiPriority w:val="99"/>
    <w:semiHidden/>
    <w:unhideWhenUsed/>
    <w:rsid w:val="006019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19A3"/>
    <w:rPr>
      <w:rFonts w:ascii="Segoe UI" w:hAnsi="Segoe UI" w:cs="Segoe UI"/>
      <w:sz w:val="18"/>
      <w:szCs w:val="18"/>
    </w:rPr>
  </w:style>
  <w:style w:type="paragraph" w:styleId="NoSpacing">
    <w:name w:val="No Spacing"/>
    <w:link w:val="NoSpacingChar"/>
    <w:uiPriority w:val="1"/>
    <w:qFormat/>
    <w:rsid w:val="00117536"/>
    <w:rPr>
      <w:rFonts w:eastAsiaTheme="minorEastAsia"/>
    </w:rPr>
  </w:style>
  <w:style w:type="character" w:customStyle="1" w:styleId="NoSpacingChar">
    <w:name w:val="No Spacing Char"/>
    <w:basedOn w:val="DefaultParagraphFont"/>
    <w:link w:val="NoSpacing"/>
    <w:uiPriority w:val="1"/>
    <w:rsid w:val="00117536"/>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95294">
      <w:bodyDiv w:val="1"/>
      <w:marLeft w:val="0"/>
      <w:marRight w:val="0"/>
      <w:marTop w:val="0"/>
      <w:marBottom w:val="0"/>
      <w:divBdr>
        <w:top w:val="none" w:sz="0" w:space="0" w:color="auto"/>
        <w:left w:val="none" w:sz="0" w:space="0" w:color="auto"/>
        <w:bottom w:val="none" w:sz="0" w:space="0" w:color="auto"/>
        <w:right w:val="none" w:sz="0" w:space="0" w:color="auto"/>
      </w:divBdr>
    </w:div>
    <w:div w:id="58022525">
      <w:bodyDiv w:val="1"/>
      <w:marLeft w:val="0"/>
      <w:marRight w:val="0"/>
      <w:marTop w:val="0"/>
      <w:marBottom w:val="0"/>
      <w:divBdr>
        <w:top w:val="none" w:sz="0" w:space="0" w:color="auto"/>
        <w:left w:val="none" w:sz="0" w:space="0" w:color="auto"/>
        <w:bottom w:val="none" w:sz="0" w:space="0" w:color="auto"/>
        <w:right w:val="none" w:sz="0" w:space="0" w:color="auto"/>
      </w:divBdr>
    </w:div>
    <w:div w:id="93944724">
      <w:bodyDiv w:val="1"/>
      <w:marLeft w:val="0"/>
      <w:marRight w:val="0"/>
      <w:marTop w:val="0"/>
      <w:marBottom w:val="0"/>
      <w:divBdr>
        <w:top w:val="none" w:sz="0" w:space="0" w:color="auto"/>
        <w:left w:val="none" w:sz="0" w:space="0" w:color="auto"/>
        <w:bottom w:val="none" w:sz="0" w:space="0" w:color="auto"/>
        <w:right w:val="none" w:sz="0" w:space="0" w:color="auto"/>
      </w:divBdr>
    </w:div>
    <w:div w:id="124786052">
      <w:bodyDiv w:val="1"/>
      <w:marLeft w:val="0"/>
      <w:marRight w:val="0"/>
      <w:marTop w:val="0"/>
      <w:marBottom w:val="0"/>
      <w:divBdr>
        <w:top w:val="none" w:sz="0" w:space="0" w:color="auto"/>
        <w:left w:val="none" w:sz="0" w:space="0" w:color="auto"/>
        <w:bottom w:val="none" w:sz="0" w:space="0" w:color="auto"/>
        <w:right w:val="none" w:sz="0" w:space="0" w:color="auto"/>
      </w:divBdr>
    </w:div>
    <w:div w:id="135530745">
      <w:bodyDiv w:val="1"/>
      <w:marLeft w:val="0"/>
      <w:marRight w:val="0"/>
      <w:marTop w:val="0"/>
      <w:marBottom w:val="0"/>
      <w:divBdr>
        <w:top w:val="none" w:sz="0" w:space="0" w:color="auto"/>
        <w:left w:val="none" w:sz="0" w:space="0" w:color="auto"/>
        <w:bottom w:val="none" w:sz="0" w:space="0" w:color="auto"/>
        <w:right w:val="none" w:sz="0" w:space="0" w:color="auto"/>
      </w:divBdr>
    </w:div>
    <w:div w:id="135951022">
      <w:bodyDiv w:val="1"/>
      <w:marLeft w:val="0"/>
      <w:marRight w:val="0"/>
      <w:marTop w:val="0"/>
      <w:marBottom w:val="0"/>
      <w:divBdr>
        <w:top w:val="none" w:sz="0" w:space="0" w:color="auto"/>
        <w:left w:val="none" w:sz="0" w:space="0" w:color="auto"/>
        <w:bottom w:val="none" w:sz="0" w:space="0" w:color="auto"/>
        <w:right w:val="none" w:sz="0" w:space="0" w:color="auto"/>
      </w:divBdr>
    </w:div>
    <w:div w:id="147212001">
      <w:bodyDiv w:val="1"/>
      <w:marLeft w:val="0"/>
      <w:marRight w:val="0"/>
      <w:marTop w:val="0"/>
      <w:marBottom w:val="0"/>
      <w:divBdr>
        <w:top w:val="none" w:sz="0" w:space="0" w:color="auto"/>
        <w:left w:val="none" w:sz="0" w:space="0" w:color="auto"/>
        <w:bottom w:val="none" w:sz="0" w:space="0" w:color="auto"/>
        <w:right w:val="none" w:sz="0" w:space="0" w:color="auto"/>
      </w:divBdr>
    </w:div>
    <w:div w:id="158621582">
      <w:bodyDiv w:val="1"/>
      <w:marLeft w:val="0"/>
      <w:marRight w:val="0"/>
      <w:marTop w:val="0"/>
      <w:marBottom w:val="0"/>
      <w:divBdr>
        <w:top w:val="none" w:sz="0" w:space="0" w:color="auto"/>
        <w:left w:val="none" w:sz="0" w:space="0" w:color="auto"/>
        <w:bottom w:val="none" w:sz="0" w:space="0" w:color="auto"/>
        <w:right w:val="none" w:sz="0" w:space="0" w:color="auto"/>
      </w:divBdr>
    </w:div>
    <w:div w:id="164128455">
      <w:bodyDiv w:val="1"/>
      <w:marLeft w:val="0"/>
      <w:marRight w:val="0"/>
      <w:marTop w:val="0"/>
      <w:marBottom w:val="0"/>
      <w:divBdr>
        <w:top w:val="none" w:sz="0" w:space="0" w:color="auto"/>
        <w:left w:val="none" w:sz="0" w:space="0" w:color="auto"/>
        <w:bottom w:val="none" w:sz="0" w:space="0" w:color="auto"/>
        <w:right w:val="none" w:sz="0" w:space="0" w:color="auto"/>
      </w:divBdr>
    </w:div>
    <w:div w:id="166791429">
      <w:bodyDiv w:val="1"/>
      <w:marLeft w:val="0"/>
      <w:marRight w:val="0"/>
      <w:marTop w:val="0"/>
      <w:marBottom w:val="0"/>
      <w:divBdr>
        <w:top w:val="none" w:sz="0" w:space="0" w:color="auto"/>
        <w:left w:val="none" w:sz="0" w:space="0" w:color="auto"/>
        <w:bottom w:val="none" w:sz="0" w:space="0" w:color="auto"/>
        <w:right w:val="none" w:sz="0" w:space="0" w:color="auto"/>
      </w:divBdr>
    </w:div>
    <w:div w:id="174418759">
      <w:bodyDiv w:val="1"/>
      <w:marLeft w:val="0"/>
      <w:marRight w:val="0"/>
      <w:marTop w:val="0"/>
      <w:marBottom w:val="0"/>
      <w:divBdr>
        <w:top w:val="none" w:sz="0" w:space="0" w:color="auto"/>
        <w:left w:val="none" w:sz="0" w:space="0" w:color="auto"/>
        <w:bottom w:val="none" w:sz="0" w:space="0" w:color="auto"/>
        <w:right w:val="none" w:sz="0" w:space="0" w:color="auto"/>
      </w:divBdr>
    </w:div>
    <w:div w:id="192307383">
      <w:bodyDiv w:val="1"/>
      <w:marLeft w:val="0"/>
      <w:marRight w:val="0"/>
      <w:marTop w:val="0"/>
      <w:marBottom w:val="0"/>
      <w:divBdr>
        <w:top w:val="none" w:sz="0" w:space="0" w:color="auto"/>
        <w:left w:val="none" w:sz="0" w:space="0" w:color="auto"/>
        <w:bottom w:val="none" w:sz="0" w:space="0" w:color="auto"/>
        <w:right w:val="none" w:sz="0" w:space="0" w:color="auto"/>
      </w:divBdr>
    </w:div>
    <w:div w:id="232787011">
      <w:bodyDiv w:val="1"/>
      <w:marLeft w:val="0"/>
      <w:marRight w:val="0"/>
      <w:marTop w:val="0"/>
      <w:marBottom w:val="0"/>
      <w:divBdr>
        <w:top w:val="none" w:sz="0" w:space="0" w:color="auto"/>
        <w:left w:val="none" w:sz="0" w:space="0" w:color="auto"/>
        <w:bottom w:val="none" w:sz="0" w:space="0" w:color="auto"/>
        <w:right w:val="none" w:sz="0" w:space="0" w:color="auto"/>
      </w:divBdr>
    </w:div>
    <w:div w:id="240219510">
      <w:bodyDiv w:val="1"/>
      <w:marLeft w:val="0"/>
      <w:marRight w:val="0"/>
      <w:marTop w:val="0"/>
      <w:marBottom w:val="0"/>
      <w:divBdr>
        <w:top w:val="none" w:sz="0" w:space="0" w:color="auto"/>
        <w:left w:val="none" w:sz="0" w:space="0" w:color="auto"/>
        <w:bottom w:val="none" w:sz="0" w:space="0" w:color="auto"/>
        <w:right w:val="none" w:sz="0" w:space="0" w:color="auto"/>
      </w:divBdr>
    </w:div>
    <w:div w:id="255210565">
      <w:bodyDiv w:val="1"/>
      <w:marLeft w:val="0"/>
      <w:marRight w:val="0"/>
      <w:marTop w:val="0"/>
      <w:marBottom w:val="0"/>
      <w:divBdr>
        <w:top w:val="none" w:sz="0" w:space="0" w:color="auto"/>
        <w:left w:val="none" w:sz="0" w:space="0" w:color="auto"/>
        <w:bottom w:val="none" w:sz="0" w:space="0" w:color="auto"/>
        <w:right w:val="none" w:sz="0" w:space="0" w:color="auto"/>
      </w:divBdr>
    </w:div>
    <w:div w:id="283922848">
      <w:bodyDiv w:val="1"/>
      <w:marLeft w:val="0"/>
      <w:marRight w:val="0"/>
      <w:marTop w:val="0"/>
      <w:marBottom w:val="0"/>
      <w:divBdr>
        <w:top w:val="none" w:sz="0" w:space="0" w:color="auto"/>
        <w:left w:val="none" w:sz="0" w:space="0" w:color="auto"/>
        <w:bottom w:val="none" w:sz="0" w:space="0" w:color="auto"/>
        <w:right w:val="none" w:sz="0" w:space="0" w:color="auto"/>
      </w:divBdr>
    </w:div>
    <w:div w:id="304968678">
      <w:bodyDiv w:val="1"/>
      <w:marLeft w:val="0"/>
      <w:marRight w:val="0"/>
      <w:marTop w:val="0"/>
      <w:marBottom w:val="0"/>
      <w:divBdr>
        <w:top w:val="none" w:sz="0" w:space="0" w:color="auto"/>
        <w:left w:val="none" w:sz="0" w:space="0" w:color="auto"/>
        <w:bottom w:val="none" w:sz="0" w:space="0" w:color="auto"/>
        <w:right w:val="none" w:sz="0" w:space="0" w:color="auto"/>
      </w:divBdr>
    </w:div>
    <w:div w:id="325598149">
      <w:bodyDiv w:val="1"/>
      <w:marLeft w:val="0"/>
      <w:marRight w:val="0"/>
      <w:marTop w:val="0"/>
      <w:marBottom w:val="0"/>
      <w:divBdr>
        <w:top w:val="none" w:sz="0" w:space="0" w:color="auto"/>
        <w:left w:val="none" w:sz="0" w:space="0" w:color="auto"/>
        <w:bottom w:val="none" w:sz="0" w:space="0" w:color="auto"/>
        <w:right w:val="none" w:sz="0" w:space="0" w:color="auto"/>
      </w:divBdr>
    </w:div>
    <w:div w:id="363218256">
      <w:bodyDiv w:val="1"/>
      <w:marLeft w:val="0"/>
      <w:marRight w:val="0"/>
      <w:marTop w:val="0"/>
      <w:marBottom w:val="0"/>
      <w:divBdr>
        <w:top w:val="none" w:sz="0" w:space="0" w:color="auto"/>
        <w:left w:val="none" w:sz="0" w:space="0" w:color="auto"/>
        <w:bottom w:val="none" w:sz="0" w:space="0" w:color="auto"/>
        <w:right w:val="none" w:sz="0" w:space="0" w:color="auto"/>
      </w:divBdr>
    </w:div>
    <w:div w:id="363790622">
      <w:bodyDiv w:val="1"/>
      <w:marLeft w:val="0"/>
      <w:marRight w:val="0"/>
      <w:marTop w:val="0"/>
      <w:marBottom w:val="0"/>
      <w:divBdr>
        <w:top w:val="none" w:sz="0" w:space="0" w:color="auto"/>
        <w:left w:val="none" w:sz="0" w:space="0" w:color="auto"/>
        <w:bottom w:val="none" w:sz="0" w:space="0" w:color="auto"/>
        <w:right w:val="none" w:sz="0" w:space="0" w:color="auto"/>
      </w:divBdr>
    </w:div>
    <w:div w:id="379213852">
      <w:bodyDiv w:val="1"/>
      <w:marLeft w:val="0"/>
      <w:marRight w:val="0"/>
      <w:marTop w:val="0"/>
      <w:marBottom w:val="0"/>
      <w:divBdr>
        <w:top w:val="none" w:sz="0" w:space="0" w:color="auto"/>
        <w:left w:val="none" w:sz="0" w:space="0" w:color="auto"/>
        <w:bottom w:val="none" w:sz="0" w:space="0" w:color="auto"/>
        <w:right w:val="none" w:sz="0" w:space="0" w:color="auto"/>
      </w:divBdr>
    </w:div>
    <w:div w:id="399863821">
      <w:bodyDiv w:val="1"/>
      <w:marLeft w:val="0"/>
      <w:marRight w:val="0"/>
      <w:marTop w:val="0"/>
      <w:marBottom w:val="0"/>
      <w:divBdr>
        <w:top w:val="none" w:sz="0" w:space="0" w:color="auto"/>
        <w:left w:val="none" w:sz="0" w:space="0" w:color="auto"/>
        <w:bottom w:val="none" w:sz="0" w:space="0" w:color="auto"/>
        <w:right w:val="none" w:sz="0" w:space="0" w:color="auto"/>
      </w:divBdr>
    </w:div>
    <w:div w:id="425615007">
      <w:bodyDiv w:val="1"/>
      <w:marLeft w:val="0"/>
      <w:marRight w:val="0"/>
      <w:marTop w:val="0"/>
      <w:marBottom w:val="0"/>
      <w:divBdr>
        <w:top w:val="none" w:sz="0" w:space="0" w:color="auto"/>
        <w:left w:val="none" w:sz="0" w:space="0" w:color="auto"/>
        <w:bottom w:val="none" w:sz="0" w:space="0" w:color="auto"/>
        <w:right w:val="none" w:sz="0" w:space="0" w:color="auto"/>
      </w:divBdr>
    </w:div>
    <w:div w:id="452289867">
      <w:bodyDiv w:val="1"/>
      <w:marLeft w:val="0"/>
      <w:marRight w:val="0"/>
      <w:marTop w:val="0"/>
      <w:marBottom w:val="0"/>
      <w:divBdr>
        <w:top w:val="none" w:sz="0" w:space="0" w:color="auto"/>
        <w:left w:val="none" w:sz="0" w:space="0" w:color="auto"/>
        <w:bottom w:val="none" w:sz="0" w:space="0" w:color="auto"/>
        <w:right w:val="none" w:sz="0" w:space="0" w:color="auto"/>
      </w:divBdr>
    </w:div>
    <w:div w:id="470827655">
      <w:bodyDiv w:val="1"/>
      <w:marLeft w:val="0"/>
      <w:marRight w:val="0"/>
      <w:marTop w:val="0"/>
      <w:marBottom w:val="0"/>
      <w:divBdr>
        <w:top w:val="none" w:sz="0" w:space="0" w:color="auto"/>
        <w:left w:val="none" w:sz="0" w:space="0" w:color="auto"/>
        <w:bottom w:val="none" w:sz="0" w:space="0" w:color="auto"/>
        <w:right w:val="none" w:sz="0" w:space="0" w:color="auto"/>
      </w:divBdr>
    </w:div>
    <w:div w:id="486673739">
      <w:bodyDiv w:val="1"/>
      <w:marLeft w:val="0"/>
      <w:marRight w:val="0"/>
      <w:marTop w:val="0"/>
      <w:marBottom w:val="0"/>
      <w:divBdr>
        <w:top w:val="none" w:sz="0" w:space="0" w:color="auto"/>
        <w:left w:val="none" w:sz="0" w:space="0" w:color="auto"/>
        <w:bottom w:val="none" w:sz="0" w:space="0" w:color="auto"/>
        <w:right w:val="none" w:sz="0" w:space="0" w:color="auto"/>
      </w:divBdr>
    </w:div>
    <w:div w:id="493302121">
      <w:bodyDiv w:val="1"/>
      <w:marLeft w:val="0"/>
      <w:marRight w:val="0"/>
      <w:marTop w:val="0"/>
      <w:marBottom w:val="0"/>
      <w:divBdr>
        <w:top w:val="none" w:sz="0" w:space="0" w:color="auto"/>
        <w:left w:val="none" w:sz="0" w:space="0" w:color="auto"/>
        <w:bottom w:val="none" w:sz="0" w:space="0" w:color="auto"/>
        <w:right w:val="none" w:sz="0" w:space="0" w:color="auto"/>
      </w:divBdr>
    </w:div>
    <w:div w:id="515579227">
      <w:bodyDiv w:val="1"/>
      <w:marLeft w:val="0"/>
      <w:marRight w:val="0"/>
      <w:marTop w:val="0"/>
      <w:marBottom w:val="0"/>
      <w:divBdr>
        <w:top w:val="none" w:sz="0" w:space="0" w:color="auto"/>
        <w:left w:val="none" w:sz="0" w:space="0" w:color="auto"/>
        <w:bottom w:val="none" w:sz="0" w:space="0" w:color="auto"/>
        <w:right w:val="none" w:sz="0" w:space="0" w:color="auto"/>
      </w:divBdr>
    </w:div>
    <w:div w:id="517085842">
      <w:bodyDiv w:val="1"/>
      <w:marLeft w:val="0"/>
      <w:marRight w:val="0"/>
      <w:marTop w:val="0"/>
      <w:marBottom w:val="0"/>
      <w:divBdr>
        <w:top w:val="none" w:sz="0" w:space="0" w:color="auto"/>
        <w:left w:val="none" w:sz="0" w:space="0" w:color="auto"/>
        <w:bottom w:val="none" w:sz="0" w:space="0" w:color="auto"/>
        <w:right w:val="none" w:sz="0" w:space="0" w:color="auto"/>
      </w:divBdr>
    </w:div>
    <w:div w:id="550387295">
      <w:bodyDiv w:val="1"/>
      <w:marLeft w:val="0"/>
      <w:marRight w:val="0"/>
      <w:marTop w:val="0"/>
      <w:marBottom w:val="0"/>
      <w:divBdr>
        <w:top w:val="none" w:sz="0" w:space="0" w:color="auto"/>
        <w:left w:val="none" w:sz="0" w:space="0" w:color="auto"/>
        <w:bottom w:val="none" w:sz="0" w:space="0" w:color="auto"/>
        <w:right w:val="none" w:sz="0" w:space="0" w:color="auto"/>
      </w:divBdr>
    </w:div>
    <w:div w:id="625279267">
      <w:bodyDiv w:val="1"/>
      <w:marLeft w:val="0"/>
      <w:marRight w:val="0"/>
      <w:marTop w:val="0"/>
      <w:marBottom w:val="0"/>
      <w:divBdr>
        <w:top w:val="none" w:sz="0" w:space="0" w:color="auto"/>
        <w:left w:val="none" w:sz="0" w:space="0" w:color="auto"/>
        <w:bottom w:val="none" w:sz="0" w:space="0" w:color="auto"/>
        <w:right w:val="none" w:sz="0" w:space="0" w:color="auto"/>
      </w:divBdr>
    </w:div>
    <w:div w:id="631060286">
      <w:bodyDiv w:val="1"/>
      <w:marLeft w:val="0"/>
      <w:marRight w:val="0"/>
      <w:marTop w:val="0"/>
      <w:marBottom w:val="0"/>
      <w:divBdr>
        <w:top w:val="none" w:sz="0" w:space="0" w:color="auto"/>
        <w:left w:val="none" w:sz="0" w:space="0" w:color="auto"/>
        <w:bottom w:val="none" w:sz="0" w:space="0" w:color="auto"/>
        <w:right w:val="none" w:sz="0" w:space="0" w:color="auto"/>
      </w:divBdr>
    </w:div>
    <w:div w:id="664360364">
      <w:bodyDiv w:val="1"/>
      <w:marLeft w:val="0"/>
      <w:marRight w:val="0"/>
      <w:marTop w:val="0"/>
      <w:marBottom w:val="0"/>
      <w:divBdr>
        <w:top w:val="none" w:sz="0" w:space="0" w:color="auto"/>
        <w:left w:val="none" w:sz="0" w:space="0" w:color="auto"/>
        <w:bottom w:val="none" w:sz="0" w:space="0" w:color="auto"/>
        <w:right w:val="none" w:sz="0" w:space="0" w:color="auto"/>
      </w:divBdr>
    </w:div>
    <w:div w:id="719402383">
      <w:bodyDiv w:val="1"/>
      <w:marLeft w:val="0"/>
      <w:marRight w:val="0"/>
      <w:marTop w:val="0"/>
      <w:marBottom w:val="0"/>
      <w:divBdr>
        <w:top w:val="none" w:sz="0" w:space="0" w:color="auto"/>
        <w:left w:val="none" w:sz="0" w:space="0" w:color="auto"/>
        <w:bottom w:val="none" w:sz="0" w:space="0" w:color="auto"/>
        <w:right w:val="none" w:sz="0" w:space="0" w:color="auto"/>
      </w:divBdr>
    </w:div>
    <w:div w:id="731003621">
      <w:bodyDiv w:val="1"/>
      <w:marLeft w:val="0"/>
      <w:marRight w:val="0"/>
      <w:marTop w:val="0"/>
      <w:marBottom w:val="0"/>
      <w:divBdr>
        <w:top w:val="none" w:sz="0" w:space="0" w:color="auto"/>
        <w:left w:val="none" w:sz="0" w:space="0" w:color="auto"/>
        <w:bottom w:val="none" w:sz="0" w:space="0" w:color="auto"/>
        <w:right w:val="none" w:sz="0" w:space="0" w:color="auto"/>
      </w:divBdr>
    </w:div>
    <w:div w:id="755438269">
      <w:bodyDiv w:val="1"/>
      <w:marLeft w:val="0"/>
      <w:marRight w:val="0"/>
      <w:marTop w:val="0"/>
      <w:marBottom w:val="0"/>
      <w:divBdr>
        <w:top w:val="none" w:sz="0" w:space="0" w:color="auto"/>
        <w:left w:val="none" w:sz="0" w:space="0" w:color="auto"/>
        <w:bottom w:val="none" w:sz="0" w:space="0" w:color="auto"/>
        <w:right w:val="none" w:sz="0" w:space="0" w:color="auto"/>
      </w:divBdr>
    </w:div>
    <w:div w:id="772285842">
      <w:bodyDiv w:val="1"/>
      <w:marLeft w:val="0"/>
      <w:marRight w:val="0"/>
      <w:marTop w:val="0"/>
      <w:marBottom w:val="0"/>
      <w:divBdr>
        <w:top w:val="none" w:sz="0" w:space="0" w:color="auto"/>
        <w:left w:val="none" w:sz="0" w:space="0" w:color="auto"/>
        <w:bottom w:val="none" w:sz="0" w:space="0" w:color="auto"/>
        <w:right w:val="none" w:sz="0" w:space="0" w:color="auto"/>
      </w:divBdr>
    </w:div>
    <w:div w:id="816990773">
      <w:bodyDiv w:val="1"/>
      <w:marLeft w:val="0"/>
      <w:marRight w:val="0"/>
      <w:marTop w:val="0"/>
      <w:marBottom w:val="0"/>
      <w:divBdr>
        <w:top w:val="none" w:sz="0" w:space="0" w:color="auto"/>
        <w:left w:val="none" w:sz="0" w:space="0" w:color="auto"/>
        <w:bottom w:val="none" w:sz="0" w:space="0" w:color="auto"/>
        <w:right w:val="none" w:sz="0" w:space="0" w:color="auto"/>
      </w:divBdr>
    </w:div>
    <w:div w:id="840043320">
      <w:bodyDiv w:val="1"/>
      <w:marLeft w:val="0"/>
      <w:marRight w:val="0"/>
      <w:marTop w:val="0"/>
      <w:marBottom w:val="0"/>
      <w:divBdr>
        <w:top w:val="none" w:sz="0" w:space="0" w:color="auto"/>
        <w:left w:val="none" w:sz="0" w:space="0" w:color="auto"/>
        <w:bottom w:val="none" w:sz="0" w:space="0" w:color="auto"/>
        <w:right w:val="none" w:sz="0" w:space="0" w:color="auto"/>
      </w:divBdr>
    </w:div>
    <w:div w:id="864485970">
      <w:bodyDiv w:val="1"/>
      <w:marLeft w:val="0"/>
      <w:marRight w:val="0"/>
      <w:marTop w:val="0"/>
      <w:marBottom w:val="0"/>
      <w:divBdr>
        <w:top w:val="none" w:sz="0" w:space="0" w:color="auto"/>
        <w:left w:val="none" w:sz="0" w:space="0" w:color="auto"/>
        <w:bottom w:val="none" w:sz="0" w:space="0" w:color="auto"/>
        <w:right w:val="none" w:sz="0" w:space="0" w:color="auto"/>
      </w:divBdr>
    </w:div>
    <w:div w:id="879783143">
      <w:bodyDiv w:val="1"/>
      <w:marLeft w:val="0"/>
      <w:marRight w:val="0"/>
      <w:marTop w:val="0"/>
      <w:marBottom w:val="0"/>
      <w:divBdr>
        <w:top w:val="none" w:sz="0" w:space="0" w:color="auto"/>
        <w:left w:val="none" w:sz="0" w:space="0" w:color="auto"/>
        <w:bottom w:val="none" w:sz="0" w:space="0" w:color="auto"/>
        <w:right w:val="none" w:sz="0" w:space="0" w:color="auto"/>
      </w:divBdr>
    </w:div>
    <w:div w:id="892623308">
      <w:bodyDiv w:val="1"/>
      <w:marLeft w:val="0"/>
      <w:marRight w:val="0"/>
      <w:marTop w:val="0"/>
      <w:marBottom w:val="0"/>
      <w:divBdr>
        <w:top w:val="none" w:sz="0" w:space="0" w:color="auto"/>
        <w:left w:val="none" w:sz="0" w:space="0" w:color="auto"/>
        <w:bottom w:val="none" w:sz="0" w:space="0" w:color="auto"/>
        <w:right w:val="none" w:sz="0" w:space="0" w:color="auto"/>
      </w:divBdr>
    </w:div>
    <w:div w:id="900869943">
      <w:bodyDiv w:val="1"/>
      <w:marLeft w:val="0"/>
      <w:marRight w:val="0"/>
      <w:marTop w:val="0"/>
      <w:marBottom w:val="0"/>
      <w:divBdr>
        <w:top w:val="none" w:sz="0" w:space="0" w:color="auto"/>
        <w:left w:val="none" w:sz="0" w:space="0" w:color="auto"/>
        <w:bottom w:val="none" w:sz="0" w:space="0" w:color="auto"/>
        <w:right w:val="none" w:sz="0" w:space="0" w:color="auto"/>
      </w:divBdr>
    </w:div>
    <w:div w:id="937953234">
      <w:bodyDiv w:val="1"/>
      <w:marLeft w:val="0"/>
      <w:marRight w:val="0"/>
      <w:marTop w:val="0"/>
      <w:marBottom w:val="0"/>
      <w:divBdr>
        <w:top w:val="none" w:sz="0" w:space="0" w:color="auto"/>
        <w:left w:val="none" w:sz="0" w:space="0" w:color="auto"/>
        <w:bottom w:val="none" w:sz="0" w:space="0" w:color="auto"/>
        <w:right w:val="none" w:sz="0" w:space="0" w:color="auto"/>
      </w:divBdr>
    </w:div>
    <w:div w:id="964234307">
      <w:bodyDiv w:val="1"/>
      <w:marLeft w:val="0"/>
      <w:marRight w:val="0"/>
      <w:marTop w:val="0"/>
      <w:marBottom w:val="0"/>
      <w:divBdr>
        <w:top w:val="none" w:sz="0" w:space="0" w:color="auto"/>
        <w:left w:val="none" w:sz="0" w:space="0" w:color="auto"/>
        <w:bottom w:val="none" w:sz="0" w:space="0" w:color="auto"/>
        <w:right w:val="none" w:sz="0" w:space="0" w:color="auto"/>
      </w:divBdr>
    </w:div>
    <w:div w:id="1021014046">
      <w:bodyDiv w:val="1"/>
      <w:marLeft w:val="0"/>
      <w:marRight w:val="0"/>
      <w:marTop w:val="0"/>
      <w:marBottom w:val="0"/>
      <w:divBdr>
        <w:top w:val="none" w:sz="0" w:space="0" w:color="auto"/>
        <w:left w:val="none" w:sz="0" w:space="0" w:color="auto"/>
        <w:bottom w:val="none" w:sz="0" w:space="0" w:color="auto"/>
        <w:right w:val="none" w:sz="0" w:space="0" w:color="auto"/>
      </w:divBdr>
    </w:div>
    <w:div w:id="1039353707">
      <w:bodyDiv w:val="1"/>
      <w:marLeft w:val="0"/>
      <w:marRight w:val="0"/>
      <w:marTop w:val="0"/>
      <w:marBottom w:val="0"/>
      <w:divBdr>
        <w:top w:val="none" w:sz="0" w:space="0" w:color="auto"/>
        <w:left w:val="none" w:sz="0" w:space="0" w:color="auto"/>
        <w:bottom w:val="none" w:sz="0" w:space="0" w:color="auto"/>
        <w:right w:val="none" w:sz="0" w:space="0" w:color="auto"/>
      </w:divBdr>
    </w:div>
    <w:div w:id="1096294712">
      <w:bodyDiv w:val="1"/>
      <w:marLeft w:val="0"/>
      <w:marRight w:val="0"/>
      <w:marTop w:val="0"/>
      <w:marBottom w:val="0"/>
      <w:divBdr>
        <w:top w:val="none" w:sz="0" w:space="0" w:color="auto"/>
        <w:left w:val="none" w:sz="0" w:space="0" w:color="auto"/>
        <w:bottom w:val="none" w:sz="0" w:space="0" w:color="auto"/>
        <w:right w:val="none" w:sz="0" w:space="0" w:color="auto"/>
      </w:divBdr>
    </w:div>
    <w:div w:id="1106195945">
      <w:bodyDiv w:val="1"/>
      <w:marLeft w:val="0"/>
      <w:marRight w:val="0"/>
      <w:marTop w:val="0"/>
      <w:marBottom w:val="0"/>
      <w:divBdr>
        <w:top w:val="none" w:sz="0" w:space="0" w:color="auto"/>
        <w:left w:val="none" w:sz="0" w:space="0" w:color="auto"/>
        <w:bottom w:val="none" w:sz="0" w:space="0" w:color="auto"/>
        <w:right w:val="none" w:sz="0" w:space="0" w:color="auto"/>
      </w:divBdr>
    </w:div>
    <w:div w:id="1114783666">
      <w:bodyDiv w:val="1"/>
      <w:marLeft w:val="0"/>
      <w:marRight w:val="0"/>
      <w:marTop w:val="0"/>
      <w:marBottom w:val="0"/>
      <w:divBdr>
        <w:top w:val="none" w:sz="0" w:space="0" w:color="auto"/>
        <w:left w:val="none" w:sz="0" w:space="0" w:color="auto"/>
        <w:bottom w:val="none" w:sz="0" w:space="0" w:color="auto"/>
        <w:right w:val="none" w:sz="0" w:space="0" w:color="auto"/>
      </w:divBdr>
    </w:div>
    <w:div w:id="1134178039">
      <w:bodyDiv w:val="1"/>
      <w:marLeft w:val="0"/>
      <w:marRight w:val="0"/>
      <w:marTop w:val="0"/>
      <w:marBottom w:val="0"/>
      <w:divBdr>
        <w:top w:val="none" w:sz="0" w:space="0" w:color="auto"/>
        <w:left w:val="none" w:sz="0" w:space="0" w:color="auto"/>
        <w:bottom w:val="none" w:sz="0" w:space="0" w:color="auto"/>
        <w:right w:val="none" w:sz="0" w:space="0" w:color="auto"/>
      </w:divBdr>
    </w:div>
    <w:div w:id="1151025167">
      <w:bodyDiv w:val="1"/>
      <w:marLeft w:val="0"/>
      <w:marRight w:val="0"/>
      <w:marTop w:val="0"/>
      <w:marBottom w:val="0"/>
      <w:divBdr>
        <w:top w:val="none" w:sz="0" w:space="0" w:color="auto"/>
        <w:left w:val="none" w:sz="0" w:space="0" w:color="auto"/>
        <w:bottom w:val="none" w:sz="0" w:space="0" w:color="auto"/>
        <w:right w:val="none" w:sz="0" w:space="0" w:color="auto"/>
      </w:divBdr>
    </w:div>
    <w:div w:id="1160653941">
      <w:bodyDiv w:val="1"/>
      <w:marLeft w:val="0"/>
      <w:marRight w:val="0"/>
      <w:marTop w:val="0"/>
      <w:marBottom w:val="0"/>
      <w:divBdr>
        <w:top w:val="none" w:sz="0" w:space="0" w:color="auto"/>
        <w:left w:val="none" w:sz="0" w:space="0" w:color="auto"/>
        <w:bottom w:val="none" w:sz="0" w:space="0" w:color="auto"/>
        <w:right w:val="none" w:sz="0" w:space="0" w:color="auto"/>
      </w:divBdr>
    </w:div>
    <w:div w:id="1183856757">
      <w:bodyDiv w:val="1"/>
      <w:marLeft w:val="0"/>
      <w:marRight w:val="0"/>
      <w:marTop w:val="0"/>
      <w:marBottom w:val="0"/>
      <w:divBdr>
        <w:top w:val="none" w:sz="0" w:space="0" w:color="auto"/>
        <w:left w:val="none" w:sz="0" w:space="0" w:color="auto"/>
        <w:bottom w:val="none" w:sz="0" w:space="0" w:color="auto"/>
        <w:right w:val="none" w:sz="0" w:space="0" w:color="auto"/>
      </w:divBdr>
    </w:div>
    <w:div w:id="1195270955">
      <w:bodyDiv w:val="1"/>
      <w:marLeft w:val="0"/>
      <w:marRight w:val="0"/>
      <w:marTop w:val="0"/>
      <w:marBottom w:val="0"/>
      <w:divBdr>
        <w:top w:val="none" w:sz="0" w:space="0" w:color="auto"/>
        <w:left w:val="none" w:sz="0" w:space="0" w:color="auto"/>
        <w:bottom w:val="none" w:sz="0" w:space="0" w:color="auto"/>
        <w:right w:val="none" w:sz="0" w:space="0" w:color="auto"/>
      </w:divBdr>
    </w:div>
    <w:div w:id="1197817155">
      <w:bodyDiv w:val="1"/>
      <w:marLeft w:val="0"/>
      <w:marRight w:val="0"/>
      <w:marTop w:val="0"/>
      <w:marBottom w:val="0"/>
      <w:divBdr>
        <w:top w:val="none" w:sz="0" w:space="0" w:color="auto"/>
        <w:left w:val="none" w:sz="0" w:space="0" w:color="auto"/>
        <w:bottom w:val="none" w:sz="0" w:space="0" w:color="auto"/>
        <w:right w:val="none" w:sz="0" w:space="0" w:color="auto"/>
      </w:divBdr>
    </w:div>
    <w:div w:id="1207596184">
      <w:bodyDiv w:val="1"/>
      <w:marLeft w:val="0"/>
      <w:marRight w:val="0"/>
      <w:marTop w:val="0"/>
      <w:marBottom w:val="0"/>
      <w:divBdr>
        <w:top w:val="none" w:sz="0" w:space="0" w:color="auto"/>
        <w:left w:val="none" w:sz="0" w:space="0" w:color="auto"/>
        <w:bottom w:val="none" w:sz="0" w:space="0" w:color="auto"/>
        <w:right w:val="none" w:sz="0" w:space="0" w:color="auto"/>
      </w:divBdr>
    </w:div>
    <w:div w:id="1225944420">
      <w:bodyDiv w:val="1"/>
      <w:marLeft w:val="0"/>
      <w:marRight w:val="0"/>
      <w:marTop w:val="0"/>
      <w:marBottom w:val="0"/>
      <w:divBdr>
        <w:top w:val="none" w:sz="0" w:space="0" w:color="auto"/>
        <w:left w:val="none" w:sz="0" w:space="0" w:color="auto"/>
        <w:bottom w:val="none" w:sz="0" w:space="0" w:color="auto"/>
        <w:right w:val="none" w:sz="0" w:space="0" w:color="auto"/>
      </w:divBdr>
    </w:div>
    <w:div w:id="1228301536">
      <w:bodyDiv w:val="1"/>
      <w:marLeft w:val="0"/>
      <w:marRight w:val="0"/>
      <w:marTop w:val="0"/>
      <w:marBottom w:val="0"/>
      <w:divBdr>
        <w:top w:val="none" w:sz="0" w:space="0" w:color="auto"/>
        <w:left w:val="none" w:sz="0" w:space="0" w:color="auto"/>
        <w:bottom w:val="none" w:sz="0" w:space="0" w:color="auto"/>
        <w:right w:val="none" w:sz="0" w:space="0" w:color="auto"/>
      </w:divBdr>
    </w:div>
    <w:div w:id="1234243864">
      <w:bodyDiv w:val="1"/>
      <w:marLeft w:val="0"/>
      <w:marRight w:val="0"/>
      <w:marTop w:val="0"/>
      <w:marBottom w:val="0"/>
      <w:divBdr>
        <w:top w:val="none" w:sz="0" w:space="0" w:color="auto"/>
        <w:left w:val="none" w:sz="0" w:space="0" w:color="auto"/>
        <w:bottom w:val="none" w:sz="0" w:space="0" w:color="auto"/>
        <w:right w:val="none" w:sz="0" w:space="0" w:color="auto"/>
      </w:divBdr>
    </w:div>
    <w:div w:id="1307078730">
      <w:bodyDiv w:val="1"/>
      <w:marLeft w:val="0"/>
      <w:marRight w:val="0"/>
      <w:marTop w:val="0"/>
      <w:marBottom w:val="0"/>
      <w:divBdr>
        <w:top w:val="none" w:sz="0" w:space="0" w:color="auto"/>
        <w:left w:val="none" w:sz="0" w:space="0" w:color="auto"/>
        <w:bottom w:val="none" w:sz="0" w:space="0" w:color="auto"/>
        <w:right w:val="none" w:sz="0" w:space="0" w:color="auto"/>
      </w:divBdr>
    </w:div>
    <w:div w:id="1323315153">
      <w:bodyDiv w:val="1"/>
      <w:marLeft w:val="0"/>
      <w:marRight w:val="0"/>
      <w:marTop w:val="0"/>
      <w:marBottom w:val="0"/>
      <w:divBdr>
        <w:top w:val="none" w:sz="0" w:space="0" w:color="auto"/>
        <w:left w:val="none" w:sz="0" w:space="0" w:color="auto"/>
        <w:bottom w:val="none" w:sz="0" w:space="0" w:color="auto"/>
        <w:right w:val="none" w:sz="0" w:space="0" w:color="auto"/>
      </w:divBdr>
    </w:div>
    <w:div w:id="1342389840">
      <w:bodyDiv w:val="1"/>
      <w:marLeft w:val="0"/>
      <w:marRight w:val="0"/>
      <w:marTop w:val="0"/>
      <w:marBottom w:val="0"/>
      <w:divBdr>
        <w:top w:val="none" w:sz="0" w:space="0" w:color="auto"/>
        <w:left w:val="none" w:sz="0" w:space="0" w:color="auto"/>
        <w:bottom w:val="none" w:sz="0" w:space="0" w:color="auto"/>
        <w:right w:val="none" w:sz="0" w:space="0" w:color="auto"/>
      </w:divBdr>
    </w:div>
    <w:div w:id="1380938178">
      <w:bodyDiv w:val="1"/>
      <w:marLeft w:val="0"/>
      <w:marRight w:val="0"/>
      <w:marTop w:val="0"/>
      <w:marBottom w:val="0"/>
      <w:divBdr>
        <w:top w:val="none" w:sz="0" w:space="0" w:color="auto"/>
        <w:left w:val="none" w:sz="0" w:space="0" w:color="auto"/>
        <w:bottom w:val="none" w:sz="0" w:space="0" w:color="auto"/>
        <w:right w:val="none" w:sz="0" w:space="0" w:color="auto"/>
      </w:divBdr>
    </w:div>
    <w:div w:id="1382823412">
      <w:bodyDiv w:val="1"/>
      <w:marLeft w:val="0"/>
      <w:marRight w:val="0"/>
      <w:marTop w:val="0"/>
      <w:marBottom w:val="0"/>
      <w:divBdr>
        <w:top w:val="none" w:sz="0" w:space="0" w:color="auto"/>
        <w:left w:val="none" w:sz="0" w:space="0" w:color="auto"/>
        <w:bottom w:val="none" w:sz="0" w:space="0" w:color="auto"/>
        <w:right w:val="none" w:sz="0" w:space="0" w:color="auto"/>
      </w:divBdr>
    </w:div>
    <w:div w:id="1389381111">
      <w:bodyDiv w:val="1"/>
      <w:marLeft w:val="0"/>
      <w:marRight w:val="0"/>
      <w:marTop w:val="0"/>
      <w:marBottom w:val="0"/>
      <w:divBdr>
        <w:top w:val="none" w:sz="0" w:space="0" w:color="auto"/>
        <w:left w:val="none" w:sz="0" w:space="0" w:color="auto"/>
        <w:bottom w:val="none" w:sz="0" w:space="0" w:color="auto"/>
        <w:right w:val="none" w:sz="0" w:space="0" w:color="auto"/>
      </w:divBdr>
    </w:div>
    <w:div w:id="1389961129">
      <w:bodyDiv w:val="1"/>
      <w:marLeft w:val="0"/>
      <w:marRight w:val="0"/>
      <w:marTop w:val="0"/>
      <w:marBottom w:val="0"/>
      <w:divBdr>
        <w:top w:val="none" w:sz="0" w:space="0" w:color="auto"/>
        <w:left w:val="none" w:sz="0" w:space="0" w:color="auto"/>
        <w:bottom w:val="none" w:sz="0" w:space="0" w:color="auto"/>
        <w:right w:val="none" w:sz="0" w:space="0" w:color="auto"/>
      </w:divBdr>
    </w:div>
    <w:div w:id="1429083633">
      <w:bodyDiv w:val="1"/>
      <w:marLeft w:val="0"/>
      <w:marRight w:val="0"/>
      <w:marTop w:val="0"/>
      <w:marBottom w:val="0"/>
      <w:divBdr>
        <w:top w:val="none" w:sz="0" w:space="0" w:color="auto"/>
        <w:left w:val="none" w:sz="0" w:space="0" w:color="auto"/>
        <w:bottom w:val="none" w:sz="0" w:space="0" w:color="auto"/>
        <w:right w:val="none" w:sz="0" w:space="0" w:color="auto"/>
      </w:divBdr>
    </w:div>
    <w:div w:id="1467431477">
      <w:bodyDiv w:val="1"/>
      <w:marLeft w:val="0"/>
      <w:marRight w:val="0"/>
      <w:marTop w:val="0"/>
      <w:marBottom w:val="0"/>
      <w:divBdr>
        <w:top w:val="none" w:sz="0" w:space="0" w:color="auto"/>
        <w:left w:val="none" w:sz="0" w:space="0" w:color="auto"/>
        <w:bottom w:val="none" w:sz="0" w:space="0" w:color="auto"/>
        <w:right w:val="none" w:sz="0" w:space="0" w:color="auto"/>
      </w:divBdr>
    </w:div>
    <w:div w:id="1489783354">
      <w:bodyDiv w:val="1"/>
      <w:marLeft w:val="0"/>
      <w:marRight w:val="0"/>
      <w:marTop w:val="0"/>
      <w:marBottom w:val="0"/>
      <w:divBdr>
        <w:top w:val="none" w:sz="0" w:space="0" w:color="auto"/>
        <w:left w:val="none" w:sz="0" w:space="0" w:color="auto"/>
        <w:bottom w:val="none" w:sz="0" w:space="0" w:color="auto"/>
        <w:right w:val="none" w:sz="0" w:space="0" w:color="auto"/>
      </w:divBdr>
    </w:div>
    <w:div w:id="1505898418">
      <w:bodyDiv w:val="1"/>
      <w:marLeft w:val="0"/>
      <w:marRight w:val="0"/>
      <w:marTop w:val="0"/>
      <w:marBottom w:val="0"/>
      <w:divBdr>
        <w:top w:val="none" w:sz="0" w:space="0" w:color="auto"/>
        <w:left w:val="none" w:sz="0" w:space="0" w:color="auto"/>
        <w:bottom w:val="none" w:sz="0" w:space="0" w:color="auto"/>
        <w:right w:val="none" w:sz="0" w:space="0" w:color="auto"/>
      </w:divBdr>
    </w:div>
    <w:div w:id="1570309871">
      <w:bodyDiv w:val="1"/>
      <w:marLeft w:val="0"/>
      <w:marRight w:val="0"/>
      <w:marTop w:val="0"/>
      <w:marBottom w:val="0"/>
      <w:divBdr>
        <w:top w:val="none" w:sz="0" w:space="0" w:color="auto"/>
        <w:left w:val="none" w:sz="0" w:space="0" w:color="auto"/>
        <w:bottom w:val="none" w:sz="0" w:space="0" w:color="auto"/>
        <w:right w:val="none" w:sz="0" w:space="0" w:color="auto"/>
      </w:divBdr>
    </w:div>
    <w:div w:id="1571192820">
      <w:bodyDiv w:val="1"/>
      <w:marLeft w:val="0"/>
      <w:marRight w:val="0"/>
      <w:marTop w:val="0"/>
      <w:marBottom w:val="0"/>
      <w:divBdr>
        <w:top w:val="none" w:sz="0" w:space="0" w:color="auto"/>
        <w:left w:val="none" w:sz="0" w:space="0" w:color="auto"/>
        <w:bottom w:val="none" w:sz="0" w:space="0" w:color="auto"/>
        <w:right w:val="none" w:sz="0" w:space="0" w:color="auto"/>
      </w:divBdr>
    </w:div>
    <w:div w:id="1577930926">
      <w:bodyDiv w:val="1"/>
      <w:marLeft w:val="0"/>
      <w:marRight w:val="0"/>
      <w:marTop w:val="0"/>
      <w:marBottom w:val="0"/>
      <w:divBdr>
        <w:top w:val="none" w:sz="0" w:space="0" w:color="auto"/>
        <w:left w:val="none" w:sz="0" w:space="0" w:color="auto"/>
        <w:bottom w:val="none" w:sz="0" w:space="0" w:color="auto"/>
        <w:right w:val="none" w:sz="0" w:space="0" w:color="auto"/>
      </w:divBdr>
    </w:div>
    <w:div w:id="1631931516">
      <w:bodyDiv w:val="1"/>
      <w:marLeft w:val="0"/>
      <w:marRight w:val="0"/>
      <w:marTop w:val="0"/>
      <w:marBottom w:val="0"/>
      <w:divBdr>
        <w:top w:val="none" w:sz="0" w:space="0" w:color="auto"/>
        <w:left w:val="none" w:sz="0" w:space="0" w:color="auto"/>
        <w:bottom w:val="none" w:sz="0" w:space="0" w:color="auto"/>
        <w:right w:val="none" w:sz="0" w:space="0" w:color="auto"/>
      </w:divBdr>
    </w:div>
    <w:div w:id="1651714229">
      <w:bodyDiv w:val="1"/>
      <w:marLeft w:val="0"/>
      <w:marRight w:val="0"/>
      <w:marTop w:val="0"/>
      <w:marBottom w:val="0"/>
      <w:divBdr>
        <w:top w:val="none" w:sz="0" w:space="0" w:color="auto"/>
        <w:left w:val="none" w:sz="0" w:space="0" w:color="auto"/>
        <w:bottom w:val="none" w:sz="0" w:space="0" w:color="auto"/>
        <w:right w:val="none" w:sz="0" w:space="0" w:color="auto"/>
      </w:divBdr>
    </w:div>
    <w:div w:id="1672491577">
      <w:bodyDiv w:val="1"/>
      <w:marLeft w:val="0"/>
      <w:marRight w:val="0"/>
      <w:marTop w:val="0"/>
      <w:marBottom w:val="0"/>
      <w:divBdr>
        <w:top w:val="none" w:sz="0" w:space="0" w:color="auto"/>
        <w:left w:val="none" w:sz="0" w:space="0" w:color="auto"/>
        <w:bottom w:val="none" w:sz="0" w:space="0" w:color="auto"/>
        <w:right w:val="none" w:sz="0" w:space="0" w:color="auto"/>
      </w:divBdr>
    </w:div>
    <w:div w:id="1677001157">
      <w:bodyDiv w:val="1"/>
      <w:marLeft w:val="0"/>
      <w:marRight w:val="0"/>
      <w:marTop w:val="0"/>
      <w:marBottom w:val="0"/>
      <w:divBdr>
        <w:top w:val="none" w:sz="0" w:space="0" w:color="auto"/>
        <w:left w:val="none" w:sz="0" w:space="0" w:color="auto"/>
        <w:bottom w:val="none" w:sz="0" w:space="0" w:color="auto"/>
        <w:right w:val="none" w:sz="0" w:space="0" w:color="auto"/>
      </w:divBdr>
    </w:div>
    <w:div w:id="1722054302">
      <w:bodyDiv w:val="1"/>
      <w:marLeft w:val="0"/>
      <w:marRight w:val="0"/>
      <w:marTop w:val="0"/>
      <w:marBottom w:val="0"/>
      <w:divBdr>
        <w:top w:val="none" w:sz="0" w:space="0" w:color="auto"/>
        <w:left w:val="none" w:sz="0" w:space="0" w:color="auto"/>
        <w:bottom w:val="none" w:sz="0" w:space="0" w:color="auto"/>
        <w:right w:val="none" w:sz="0" w:space="0" w:color="auto"/>
      </w:divBdr>
    </w:div>
    <w:div w:id="1766222775">
      <w:bodyDiv w:val="1"/>
      <w:marLeft w:val="0"/>
      <w:marRight w:val="0"/>
      <w:marTop w:val="0"/>
      <w:marBottom w:val="0"/>
      <w:divBdr>
        <w:top w:val="none" w:sz="0" w:space="0" w:color="auto"/>
        <w:left w:val="none" w:sz="0" w:space="0" w:color="auto"/>
        <w:bottom w:val="none" w:sz="0" w:space="0" w:color="auto"/>
        <w:right w:val="none" w:sz="0" w:space="0" w:color="auto"/>
      </w:divBdr>
    </w:div>
    <w:div w:id="1774596263">
      <w:bodyDiv w:val="1"/>
      <w:marLeft w:val="0"/>
      <w:marRight w:val="0"/>
      <w:marTop w:val="0"/>
      <w:marBottom w:val="0"/>
      <w:divBdr>
        <w:top w:val="none" w:sz="0" w:space="0" w:color="auto"/>
        <w:left w:val="none" w:sz="0" w:space="0" w:color="auto"/>
        <w:bottom w:val="none" w:sz="0" w:space="0" w:color="auto"/>
        <w:right w:val="none" w:sz="0" w:space="0" w:color="auto"/>
      </w:divBdr>
    </w:div>
    <w:div w:id="1823037660">
      <w:bodyDiv w:val="1"/>
      <w:marLeft w:val="0"/>
      <w:marRight w:val="0"/>
      <w:marTop w:val="0"/>
      <w:marBottom w:val="0"/>
      <w:divBdr>
        <w:top w:val="none" w:sz="0" w:space="0" w:color="auto"/>
        <w:left w:val="none" w:sz="0" w:space="0" w:color="auto"/>
        <w:bottom w:val="none" w:sz="0" w:space="0" w:color="auto"/>
        <w:right w:val="none" w:sz="0" w:space="0" w:color="auto"/>
      </w:divBdr>
    </w:div>
    <w:div w:id="1824619132">
      <w:bodyDiv w:val="1"/>
      <w:marLeft w:val="0"/>
      <w:marRight w:val="0"/>
      <w:marTop w:val="0"/>
      <w:marBottom w:val="0"/>
      <w:divBdr>
        <w:top w:val="none" w:sz="0" w:space="0" w:color="auto"/>
        <w:left w:val="none" w:sz="0" w:space="0" w:color="auto"/>
        <w:bottom w:val="none" w:sz="0" w:space="0" w:color="auto"/>
        <w:right w:val="none" w:sz="0" w:space="0" w:color="auto"/>
      </w:divBdr>
    </w:div>
    <w:div w:id="1856646304">
      <w:bodyDiv w:val="1"/>
      <w:marLeft w:val="0"/>
      <w:marRight w:val="0"/>
      <w:marTop w:val="0"/>
      <w:marBottom w:val="0"/>
      <w:divBdr>
        <w:top w:val="none" w:sz="0" w:space="0" w:color="auto"/>
        <w:left w:val="none" w:sz="0" w:space="0" w:color="auto"/>
        <w:bottom w:val="none" w:sz="0" w:space="0" w:color="auto"/>
        <w:right w:val="none" w:sz="0" w:space="0" w:color="auto"/>
      </w:divBdr>
    </w:div>
    <w:div w:id="1910309240">
      <w:bodyDiv w:val="1"/>
      <w:marLeft w:val="0"/>
      <w:marRight w:val="0"/>
      <w:marTop w:val="0"/>
      <w:marBottom w:val="0"/>
      <w:divBdr>
        <w:top w:val="none" w:sz="0" w:space="0" w:color="auto"/>
        <w:left w:val="none" w:sz="0" w:space="0" w:color="auto"/>
        <w:bottom w:val="none" w:sz="0" w:space="0" w:color="auto"/>
        <w:right w:val="none" w:sz="0" w:space="0" w:color="auto"/>
      </w:divBdr>
    </w:div>
    <w:div w:id="1915823321">
      <w:bodyDiv w:val="1"/>
      <w:marLeft w:val="0"/>
      <w:marRight w:val="0"/>
      <w:marTop w:val="0"/>
      <w:marBottom w:val="0"/>
      <w:divBdr>
        <w:top w:val="none" w:sz="0" w:space="0" w:color="auto"/>
        <w:left w:val="none" w:sz="0" w:space="0" w:color="auto"/>
        <w:bottom w:val="none" w:sz="0" w:space="0" w:color="auto"/>
        <w:right w:val="none" w:sz="0" w:space="0" w:color="auto"/>
      </w:divBdr>
    </w:div>
    <w:div w:id="1916353311">
      <w:bodyDiv w:val="1"/>
      <w:marLeft w:val="0"/>
      <w:marRight w:val="0"/>
      <w:marTop w:val="0"/>
      <w:marBottom w:val="0"/>
      <w:divBdr>
        <w:top w:val="none" w:sz="0" w:space="0" w:color="auto"/>
        <w:left w:val="none" w:sz="0" w:space="0" w:color="auto"/>
        <w:bottom w:val="none" w:sz="0" w:space="0" w:color="auto"/>
        <w:right w:val="none" w:sz="0" w:space="0" w:color="auto"/>
      </w:divBdr>
    </w:div>
    <w:div w:id="1921671597">
      <w:bodyDiv w:val="1"/>
      <w:marLeft w:val="0"/>
      <w:marRight w:val="0"/>
      <w:marTop w:val="0"/>
      <w:marBottom w:val="0"/>
      <w:divBdr>
        <w:top w:val="none" w:sz="0" w:space="0" w:color="auto"/>
        <w:left w:val="none" w:sz="0" w:space="0" w:color="auto"/>
        <w:bottom w:val="none" w:sz="0" w:space="0" w:color="auto"/>
        <w:right w:val="none" w:sz="0" w:space="0" w:color="auto"/>
      </w:divBdr>
    </w:div>
    <w:div w:id="1940749007">
      <w:bodyDiv w:val="1"/>
      <w:marLeft w:val="0"/>
      <w:marRight w:val="0"/>
      <w:marTop w:val="0"/>
      <w:marBottom w:val="0"/>
      <w:divBdr>
        <w:top w:val="none" w:sz="0" w:space="0" w:color="auto"/>
        <w:left w:val="none" w:sz="0" w:space="0" w:color="auto"/>
        <w:bottom w:val="none" w:sz="0" w:space="0" w:color="auto"/>
        <w:right w:val="none" w:sz="0" w:space="0" w:color="auto"/>
      </w:divBdr>
    </w:div>
    <w:div w:id="1941334148">
      <w:bodyDiv w:val="1"/>
      <w:marLeft w:val="0"/>
      <w:marRight w:val="0"/>
      <w:marTop w:val="0"/>
      <w:marBottom w:val="0"/>
      <w:divBdr>
        <w:top w:val="none" w:sz="0" w:space="0" w:color="auto"/>
        <w:left w:val="none" w:sz="0" w:space="0" w:color="auto"/>
        <w:bottom w:val="none" w:sz="0" w:space="0" w:color="auto"/>
        <w:right w:val="none" w:sz="0" w:space="0" w:color="auto"/>
      </w:divBdr>
    </w:div>
    <w:div w:id="1982612414">
      <w:bodyDiv w:val="1"/>
      <w:marLeft w:val="0"/>
      <w:marRight w:val="0"/>
      <w:marTop w:val="0"/>
      <w:marBottom w:val="0"/>
      <w:divBdr>
        <w:top w:val="none" w:sz="0" w:space="0" w:color="auto"/>
        <w:left w:val="none" w:sz="0" w:space="0" w:color="auto"/>
        <w:bottom w:val="none" w:sz="0" w:space="0" w:color="auto"/>
        <w:right w:val="none" w:sz="0" w:space="0" w:color="auto"/>
      </w:divBdr>
    </w:div>
    <w:div w:id="2005888872">
      <w:bodyDiv w:val="1"/>
      <w:marLeft w:val="0"/>
      <w:marRight w:val="0"/>
      <w:marTop w:val="0"/>
      <w:marBottom w:val="0"/>
      <w:divBdr>
        <w:top w:val="none" w:sz="0" w:space="0" w:color="auto"/>
        <w:left w:val="none" w:sz="0" w:space="0" w:color="auto"/>
        <w:bottom w:val="none" w:sz="0" w:space="0" w:color="auto"/>
        <w:right w:val="none" w:sz="0" w:space="0" w:color="auto"/>
      </w:divBdr>
    </w:div>
    <w:div w:id="2012756419">
      <w:bodyDiv w:val="1"/>
      <w:marLeft w:val="0"/>
      <w:marRight w:val="0"/>
      <w:marTop w:val="0"/>
      <w:marBottom w:val="0"/>
      <w:divBdr>
        <w:top w:val="none" w:sz="0" w:space="0" w:color="auto"/>
        <w:left w:val="none" w:sz="0" w:space="0" w:color="auto"/>
        <w:bottom w:val="none" w:sz="0" w:space="0" w:color="auto"/>
        <w:right w:val="none" w:sz="0" w:space="0" w:color="auto"/>
      </w:divBdr>
    </w:div>
    <w:div w:id="2040272264">
      <w:bodyDiv w:val="1"/>
      <w:marLeft w:val="0"/>
      <w:marRight w:val="0"/>
      <w:marTop w:val="0"/>
      <w:marBottom w:val="0"/>
      <w:divBdr>
        <w:top w:val="none" w:sz="0" w:space="0" w:color="auto"/>
        <w:left w:val="none" w:sz="0" w:space="0" w:color="auto"/>
        <w:bottom w:val="none" w:sz="0" w:space="0" w:color="auto"/>
        <w:right w:val="none" w:sz="0" w:space="0" w:color="auto"/>
      </w:divBdr>
    </w:div>
    <w:div w:id="2042438102">
      <w:bodyDiv w:val="1"/>
      <w:marLeft w:val="0"/>
      <w:marRight w:val="0"/>
      <w:marTop w:val="0"/>
      <w:marBottom w:val="0"/>
      <w:divBdr>
        <w:top w:val="none" w:sz="0" w:space="0" w:color="auto"/>
        <w:left w:val="none" w:sz="0" w:space="0" w:color="auto"/>
        <w:bottom w:val="none" w:sz="0" w:space="0" w:color="auto"/>
        <w:right w:val="none" w:sz="0" w:space="0" w:color="auto"/>
      </w:divBdr>
    </w:div>
    <w:div w:id="2057048191">
      <w:bodyDiv w:val="1"/>
      <w:marLeft w:val="0"/>
      <w:marRight w:val="0"/>
      <w:marTop w:val="0"/>
      <w:marBottom w:val="0"/>
      <w:divBdr>
        <w:top w:val="none" w:sz="0" w:space="0" w:color="auto"/>
        <w:left w:val="none" w:sz="0" w:space="0" w:color="auto"/>
        <w:bottom w:val="none" w:sz="0" w:space="0" w:color="auto"/>
        <w:right w:val="none" w:sz="0" w:space="0" w:color="auto"/>
      </w:divBdr>
    </w:div>
    <w:div w:id="2075929782">
      <w:bodyDiv w:val="1"/>
      <w:marLeft w:val="0"/>
      <w:marRight w:val="0"/>
      <w:marTop w:val="0"/>
      <w:marBottom w:val="0"/>
      <w:divBdr>
        <w:top w:val="none" w:sz="0" w:space="0" w:color="auto"/>
        <w:left w:val="none" w:sz="0" w:space="0" w:color="auto"/>
        <w:bottom w:val="none" w:sz="0" w:space="0" w:color="auto"/>
        <w:right w:val="none" w:sz="0" w:space="0" w:color="auto"/>
      </w:divBdr>
    </w:div>
    <w:div w:id="2077587127">
      <w:bodyDiv w:val="1"/>
      <w:marLeft w:val="0"/>
      <w:marRight w:val="0"/>
      <w:marTop w:val="0"/>
      <w:marBottom w:val="0"/>
      <w:divBdr>
        <w:top w:val="none" w:sz="0" w:space="0" w:color="auto"/>
        <w:left w:val="none" w:sz="0" w:space="0" w:color="auto"/>
        <w:bottom w:val="none" w:sz="0" w:space="0" w:color="auto"/>
        <w:right w:val="none" w:sz="0" w:space="0" w:color="auto"/>
      </w:divBdr>
    </w:div>
    <w:div w:id="2120755563">
      <w:bodyDiv w:val="1"/>
      <w:marLeft w:val="0"/>
      <w:marRight w:val="0"/>
      <w:marTop w:val="0"/>
      <w:marBottom w:val="0"/>
      <w:divBdr>
        <w:top w:val="none" w:sz="0" w:space="0" w:color="auto"/>
        <w:left w:val="none" w:sz="0" w:space="0" w:color="auto"/>
        <w:bottom w:val="none" w:sz="0" w:space="0" w:color="auto"/>
        <w:right w:val="none" w:sz="0" w:space="0" w:color="auto"/>
      </w:divBdr>
    </w:div>
    <w:div w:id="2137944656">
      <w:bodyDiv w:val="1"/>
      <w:marLeft w:val="0"/>
      <w:marRight w:val="0"/>
      <w:marTop w:val="0"/>
      <w:marBottom w:val="0"/>
      <w:divBdr>
        <w:top w:val="none" w:sz="0" w:space="0" w:color="auto"/>
        <w:left w:val="none" w:sz="0" w:space="0" w:color="auto"/>
        <w:bottom w:val="none" w:sz="0" w:space="0" w:color="auto"/>
        <w:right w:val="none" w:sz="0" w:space="0" w:color="auto"/>
      </w:divBdr>
    </w:div>
    <w:div w:id="2140418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chart" Target="charts/chart4.xm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chart" Target="charts/chart7.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6.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chart" Target="charts/chart1.xml"/><Relationship Id="rId23" Type="http://schemas.microsoft.com/office/2011/relationships/commentsExtended" Target="commentsExtended.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hart" Target="charts/chart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comments" Target="comments.xml"/><Relationship Id="rId27" Type="http://schemas.openxmlformats.org/officeDocument/2006/relationships/footer" Target="foot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treasury.state.la.us\Departments\Invest\LEQTF%20ANNUAL%20REPORT\LEQTF%202023%20Annual%20Reports\2023%20LEQTF%20History%20Annual%20Report%20Analysis.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2.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1"/>
              <a:t>Allocations</a:t>
            </a:r>
            <a:r>
              <a:rPr lang="en-US" b="1" baseline="0"/>
              <a:t> to BESE &amp; Regents</a:t>
            </a:r>
            <a:endParaRPr lang="en-US" b="1"/>
          </a:p>
        </c:rich>
      </c:tx>
      <c:layout>
        <c:manualLayout>
          <c:xMode val="edge"/>
          <c:yMode val="edge"/>
          <c:x val="0.33580809610337164"/>
          <c:y val="2.9239107024575647E-2"/>
        </c:manualLayout>
      </c:layout>
      <c:overlay val="0"/>
    </c:title>
    <c:autoTitleDeleted val="0"/>
    <c:plotArea>
      <c:layout>
        <c:manualLayout>
          <c:layoutTarget val="inner"/>
          <c:xMode val="edge"/>
          <c:yMode val="edge"/>
          <c:x val="0.1163919628289707"/>
          <c:y val="0.13730533683289589"/>
          <c:w val="0.85798935387322683"/>
          <c:h val="0.68953932482577607"/>
        </c:manualLayout>
      </c:layout>
      <c:barChart>
        <c:barDir val="col"/>
        <c:grouping val="clustered"/>
        <c:varyColors val="0"/>
        <c:ser>
          <c:idx val="0"/>
          <c:order val="0"/>
          <c:tx>
            <c:strRef>
              <c:f>'Inc Alloc'!$AU$4</c:f>
              <c:strCache>
                <c:ptCount val="1"/>
                <c:pt idx="0">
                  <c:v>BESE &amp; Regents</c:v>
                </c:pt>
              </c:strCache>
            </c:strRef>
          </c:tx>
          <c:invertIfNegative val="0"/>
          <c:cat>
            <c:strRef>
              <c:f>'Inc Alloc'!$AR$5:$AR$41</c:f>
              <c:strCache>
                <c:ptCount val="37"/>
                <c:pt idx="0">
                  <c:v>FY 86-87 </c:v>
                </c:pt>
                <c:pt idx="1">
                  <c:v>FY 87-88 </c:v>
                </c:pt>
                <c:pt idx="2">
                  <c:v>FY 88-89 </c:v>
                </c:pt>
                <c:pt idx="3">
                  <c:v>FY 89-90 </c:v>
                </c:pt>
                <c:pt idx="4">
                  <c:v>FY 90-91 </c:v>
                </c:pt>
                <c:pt idx="5">
                  <c:v>FY 91-92 </c:v>
                </c:pt>
                <c:pt idx="6">
                  <c:v>FY 92-93 </c:v>
                </c:pt>
                <c:pt idx="7">
                  <c:v>FY 93-94 </c:v>
                </c:pt>
                <c:pt idx="8">
                  <c:v>FY 94-95 </c:v>
                </c:pt>
                <c:pt idx="9">
                  <c:v>FY 95-96 </c:v>
                </c:pt>
                <c:pt idx="10">
                  <c:v>FY 96-97 </c:v>
                </c:pt>
                <c:pt idx="11">
                  <c:v>FY 97-98 </c:v>
                </c:pt>
                <c:pt idx="12">
                  <c:v>FY 98-99 </c:v>
                </c:pt>
                <c:pt idx="13">
                  <c:v>FY 99-00 </c:v>
                </c:pt>
                <c:pt idx="14">
                  <c:v>FY 00-01 </c:v>
                </c:pt>
                <c:pt idx="15">
                  <c:v>FY 01-02 </c:v>
                </c:pt>
                <c:pt idx="16">
                  <c:v>FY 02-03 </c:v>
                </c:pt>
                <c:pt idx="17">
                  <c:v>FY 03-04 </c:v>
                </c:pt>
                <c:pt idx="18">
                  <c:v>FY 04-05 </c:v>
                </c:pt>
                <c:pt idx="19">
                  <c:v>FY 05-06 </c:v>
                </c:pt>
                <c:pt idx="20">
                  <c:v>FY 06-07 </c:v>
                </c:pt>
                <c:pt idx="21">
                  <c:v>FY 07-08 </c:v>
                </c:pt>
                <c:pt idx="22">
                  <c:v>FY 08-09 </c:v>
                </c:pt>
                <c:pt idx="23">
                  <c:v>FY 09-10 </c:v>
                </c:pt>
                <c:pt idx="24">
                  <c:v>FY 10-11 </c:v>
                </c:pt>
                <c:pt idx="25">
                  <c:v>FY 11-12</c:v>
                </c:pt>
                <c:pt idx="26">
                  <c:v>FY 12-13</c:v>
                </c:pt>
                <c:pt idx="27">
                  <c:v>FY 13-14</c:v>
                </c:pt>
                <c:pt idx="28">
                  <c:v>FY 14-15</c:v>
                </c:pt>
                <c:pt idx="29">
                  <c:v>FY 15-16</c:v>
                </c:pt>
                <c:pt idx="30">
                  <c:v>FY 16-17</c:v>
                </c:pt>
                <c:pt idx="31">
                  <c:v>FY 17-18</c:v>
                </c:pt>
                <c:pt idx="32">
                  <c:v>FY 18-19</c:v>
                </c:pt>
                <c:pt idx="33">
                  <c:v>FY 19-20</c:v>
                </c:pt>
                <c:pt idx="34">
                  <c:v>FY 20-21</c:v>
                </c:pt>
                <c:pt idx="35">
                  <c:v>FY 21-22</c:v>
                </c:pt>
                <c:pt idx="36">
                  <c:v>FY 22-23</c:v>
                </c:pt>
              </c:strCache>
            </c:strRef>
          </c:cat>
          <c:val>
            <c:numLit>
              <c:formatCode>General</c:formatCode>
              <c:ptCount val="1"/>
              <c:pt idx="0">
                <c:v>1</c:v>
              </c:pt>
            </c:numLit>
          </c:val>
          <c:extLst>
            <c:ext xmlns:c16="http://schemas.microsoft.com/office/drawing/2014/chart" uri="{C3380CC4-5D6E-409C-BE32-E72D297353CC}">
              <c16:uniqueId val="{00000000-A057-421C-A0E5-E47D2C693A3D}"/>
            </c:ext>
          </c:extLst>
        </c:ser>
        <c:ser>
          <c:idx val="1"/>
          <c:order val="1"/>
          <c:tx>
            <c:strRef>
              <c:f>'Inc Alloc'!$AU$4</c:f>
              <c:strCache>
                <c:ptCount val="1"/>
                <c:pt idx="0">
                  <c:v>BESE &amp; Regents</c:v>
                </c:pt>
              </c:strCache>
            </c:strRef>
          </c:tx>
          <c:spPr>
            <a:solidFill>
              <a:srgbClr val="92D050"/>
            </a:solidFill>
            <a:ln>
              <a:solidFill>
                <a:srgbClr val="92D050"/>
              </a:solidFill>
            </a:ln>
          </c:spPr>
          <c:invertIfNegative val="0"/>
          <c:dLbls>
            <c:spPr>
              <a:noFill/>
              <a:ln>
                <a:noFill/>
              </a:ln>
              <a:effectLst/>
            </c:spPr>
            <c:txPr>
              <a:bodyPr wrap="square" lIns="38100" tIns="19050" rIns="38100" bIns="19050" anchor="ctr">
                <a:spAutoFit/>
              </a:bodyPr>
              <a:lstStyle/>
              <a:p>
                <a:pPr>
                  <a:defRPr sz="1200"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'Inc Alloc'!$AU$5:$AU$41</c:f>
              <c:numCache>
                <c:formatCode>#,##0</c:formatCode>
                <c:ptCount val="37"/>
                <c:pt idx="0">
                  <c:v>21.518834420000001</c:v>
                </c:pt>
                <c:pt idx="1">
                  <c:v>39.336616679999999</c:v>
                </c:pt>
                <c:pt idx="2">
                  <c:v>43.032452679999999</c:v>
                </c:pt>
                <c:pt idx="3">
                  <c:v>43.428932199999998</c:v>
                </c:pt>
                <c:pt idx="4">
                  <c:v>50.769776569999998</c:v>
                </c:pt>
                <c:pt idx="5">
                  <c:v>53.735725279999997</c:v>
                </c:pt>
                <c:pt idx="6">
                  <c:v>57.058332719999996</c:v>
                </c:pt>
                <c:pt idx="7">
                  <c:v>61.588730419999997</c:v>
                </c:pt>
                <c:pt idx="8">
                  <c:v>72.449738209999992</c:v>
                </c:pt>
                <c:pt idx="9">
                  <c:v>51.463937770000001</c:v>
                </c:pt>
                <c:pt idx="10">
                  <c:v>59.618489079999996</c:v>
                </c:pt>
                <c:pt idx="11">
                  <c:v>58.846078689999999</c:v>
                </c:pt>
                <c:pt idx="12">
                  <c:v>56.74812695</c:v>
                </c:pt>
                <c:pt idx="13">
                  <c:v>55.173899149999997</c:v>
                </c:pt>
                <c:pt idx="14">
                  <c:v>66.311543939999993</c:v>
                </c:pt>
                <c:pt idx="15">
                  <c:v>51.262732309999997</c:v>
                </c:pt>
                <c:pt idx="16">
                  <c:v>51.839946119999993</c:v>
                </c:pt>
                <c:pt idx="17">
                  <c:v>64.699652779999994</c:v>
                </c:pt>
                <c:pt idx="18">
                  <c:v>68.489881179999998</c:v>
                </c:pt>
                <c:pt idx="19">
                  <c:v>59.608897159999998</c:v>
                </c:pt>
                <c:pt idx="20">
                  <c:v>65.150288239999995</c:v>
                </c:pt>
                <c:pt idx="21">
                  <c:v>67.718150789999996</c:v>
                </c:pt>
                <c:pt idx="22">
                  <c:v>68.864495289999994</c:v>
                </c:pt>
                <c:pt idx="23">
                  <c:v>50.442597709999994</c:v>
                </c:pt>
                <c:pt idx="24">
                  <c:v>46.909185709999996</c:v>
                </c:pt>
                <c:pt idx="25">
                  <c:v>47.239627029999994</c:v>
                </c:pt>
                <c:pt idx="26">
                  <c:v>57.839148989999998</c:v>
                </c:pt>
                <c:pt idx="27">
                  <c:v>58.635397949999998</c:v>
                </c:pt>
                <c:pt idx="28">
                  <c:v>42.193709769999998</c:v>
                </c:pt>
                <c:pt idx="29">
                  <c:v>42.870055409999999</c:v>
                </c:pt>
                <c:pt idx="30">
                  <c:v>37.609768299999999</c:v>
                </c:pt>
                <c:pt idx="31">
                  <c:v>40.445199019999997</c:v>
                </c:pt>
                <c:pt idx="32">
                  <c:v>41.16092132</c:v>
                </c:pt>
                <c:pt idx="33">
                  <c:v>33.619128430000004</c:v>
                </c:pt>
                <c:pt idx="34" formatCode="0">
                  <c:v>53.530424569999994</c:v>
                </c:pt>
                <c:pt idx="35" formatCode="0">
                  <c:v>34.76691366</c:v>
                </c:pt>
                <c:pt idx="36" formatCode="0">
                  <c:v>31.171544069999996</c:v>
                </c:pt>
              </c:numCache>
            </c:numRef>
          </c:val>
          <c:extLst>
            <c:ext xmlns:c16="http://schemas.microsoft.com/office/drawing/2014/chart" uri="{C3380CC4-5D6E-409C-BE32-E72D297353CC}">
              <c16:uniqueId val="{00000001-A057-421C-A0E5-E47D2C693A3D}"/>
            </c:ext>
          </c:extLst>
        </c:ser>
        <c:dLbls>
          <c:showLegendKey val="0"/>
          <c:showVal val="0"/>
          <c:showCatName val="0"/>
          <c:showSerName val="0"/>
          <c:showPercent val="0"/>
          <c:showBubbleSize val="0"/>
        </c:dLbls>
        <c:gapWidth val="19"/>
        <c:axId val="263371487"/>
        <c:axId val="1"/>
      </c:barChart>
      <c:catAx>
        <c:axId val="263371487"/>
        <c:scaling>
          <c:orientation val="minMax"/>
        </c:scaling>
        <c:delete val="0"/>
        <c:axPos val="b"/>
        <c:majorGridlines/>
        <c:numFmt formatCode="General" sourceLinked="1"/>
        <c:majorTickMark val="out"/>
        <c:minorTickMark val="none"/>
        <c:tickLblPos val="low"/>
        <c:txPr>
          <a:bodyPr rot="-3180000" vert="horz" anchor="ctr" anchorCtr="0"/>
          <a:lstStyle/>
          <a:p>
            <a:pPr>
              <a:defRPr/>
            </a:pPr>
            <a:endParaRPr lang="en-US"/>
          </a:p>
        </c:txPr>
        <c:crossAx val="1"/>
        <c:crosses val="autoZero"/>
        <c:auto val="1"/>
        <c:lblAlgn val="ctr"/>
        <c:lblOffset val="100"/>
        <c:tickLblSkip val="4"/>
        <c:noMultiLvlLbl val="0"/>
      </c:catAx>
      <c:valAx>
        <c:axId val="1"/>
        <c:scaling>
          <c:orientation val="minMax"/>
        </c:scaling>
        <c:delete val="0"/>
        <c:axPos val="l"/>
        <c:majorGridlines/>
        <c:numFmt formatCode="#,##0"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63371487"/>
        <c:crosses val="autoZero"/>
        <c:crossBetween val="between"/>
      </c:valAx>
      <c:spPr>
        <a:noFill/>
        <a:ln w="25400">
          <a:noFill/>
        </a:ln>
      </c:spPr>
    </c:plotArea>
    <c:plotVisOnly val="1"/>
    <c:dispBlanksAs val="gap"/>
    <c:showDLblsOverMax val="0"/>
  </c:chart>
  <c:spPr>
    <a:solidFill>
      <a:schemeClr val="bg1"/>
    </a:solidFill>
    <a:ln>
      <a:solidFill>
        <a:schemeClr val="tx1"/>
      </a:solid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ndard"/>
        <c:varyColors val="0"/>
        <c:ser>
          <c:idx val="1"/>
          <c:order val="0"/>
          <c:tx>
            <c:strRef>
              <c:f>'Inc Alloc'!$AR$4</c:f>
              <c:strCache>
                <c:ptCount val="1"/>
                <c:pt idx="0">
                  <c:v>Cumulative to BESE &amp; Regents</c:v>
                </c:pt>
              </c:strCache>
            </c:strRef>
          </c:tx>
          <c:spPr>
            <a:solidFill>
              <a:srgbClr val="0070C0"/>
            </a:solidFill>
            <a:ln>
              <a:noFill/>
            </a:ln>
            <a:effectLst/>
          </c:spPr>
          <c:dLbls>
            <c:dLbl>
              <c:idx val="0"/>
              <c:layout>
                <c:manualLayout>
                  <c:x val="1.078167115902965E-2"/>
                  <c:y val="-3.995005718572818E-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97-460A-8369-7DF7E23A719E}"/>
                </c:ext>
              </c:extLst>
            </c:dLbl>
            <c:dLbl>
              <c:idx val="1"/>
              <c:delete val="1"/>
              <c:extLst>
                <c:ext xmlns:c15="http://schemas.microsoft.com/office/drawing/2012/chart" uri="{CE6537A1-D6FC-4f65-9D91-7224C49458BB}"/>
                <c:ext xmlns:c16="http://schemas.microsoft.com/office/drawing/2014/chart" uri="{C3380CC4-5D6E-409C-BE32-E72D297353CC}">
                  <c16:uniqueId val="{00000001-7C97-460A-8369-7DF7E23A719E}"/>
                </c:ext>
              </c:extLst>
            </c:dLbl>
            <c:dLbl>
              <c:idx val="2"/>
              <c:delete val="1"/>
              <c:extLst>
                <c:ext xmlns:c15="http://schemas.microsoft.com/office/drawing/2012/chart" uri="{CE6537A1-D6FC-4f65-9D91-7224C49458BB}"/>
                <c:ext xmlns:c16="http://schemas.microsoft.com/office/drawing/2014/chart" uri="{C3380CC4-5D6E-409C-BE32-E72D297353CC}">
                  <c16:uniqueId val="{00000002-7C97-460A-8369-7DF7E23A719E}"/>
                </c:ext>
              </c:extLst>
            </c:dLbl>
            <c:dLbl>
              <c:idx val="3"/>
              <c:delete val="1"/>
              <c:extLst>
                <c:ext xmlns:c15="http://schemas.microsoft.com/office/drawing/2012/chart" uri="{CE6537A1-D6FC-4f65-9D91-7224C49458BB}"/>
                <c:ext xmlns:c16="http://schemas.microsoft.com/office/drawing/2014/chart" uri="{C3380CC4-5D6E-409C-BE32-E72D297353CC}">
                  <c16:uniqueId val="{00000003-7C97-460A-8369-7DF7E23A719E}"/>
                </c:ext>
              </c:extLst>
            </c:dLbl>
            <c:dLbl>
              <c:idx val="4"/>
              <c:layout>
                <c:manualLayout>
                  <c:x val="1.6471807320349317E-17"/>
                  <c:y val="-7.3241771507168457E-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C97-460A-8369-7DF7E23A719E}"/>
                </c:ext>
              </c:extLst>
            </c:dLbl>
            <c:dLbl>
              <c:idx val="5"/>
              <c:delete val="1"/>
              <c:extLst>
                <c:ext xmlns:c15="http://schemas.microsoft.com/office/drawing/2012/chart" uri="{CE6537A1-D6FC-4f65-9D91-7224C49458BB}"/>
                <c:ext xmlns:c16="http://schemas.microsoft.com/office/drawing/2014/chart" uri="{C3380CC4-5D6E-409C-BE32-E72D297353CC}">
                  <c16:uniqueId val="{00000005-7C97-460A-8369-7DF7E23A719E}"/>
                </c:ext>
              </c:extLst>
            </c:dLbl>
            <c:dLbl>
              <c:idx val="6"/>
              <c:delete val="1"/>
              <c:extLst>
                <c:ext xmlns:c15="http://schemas.microsoft.com/office/drawing/2012/chart" uri="{CE6537A1-D6FC-4f65-9D91-7224C49458BB}"/>
                <c:ext xmlns:c16="http://schemas.microsoft.com/office/drawing/2014/chart" uri="{C3380CC4-5D6E-409C-BE32-E72D297353CC}">
                  <c16:uniqueId val="{00000006-7C97-460A-8369-7DF7E23A719E}"/>
                </c:ext>
              </c:extLst>
            </c:dLbl>
            <c:dLbl>
              <c:idx val="7"/>
              <c:delete val="1"/>
              <c:extLst>
                <c:ext xmlns:c15="http://schemas.microsoft.com/office/drawing/2012/chart" uri="{CE6537A1-D6FC-4f65-9D91-7224C49458BB}"/>
                <c:ext xmlns:c16="http://schemas.microsoft.com/office/drawing/2014/chart" uri="{C3380CC4-5D6E-409C-BE32-E72D297353CC}">
                  <c16:uniqueId val="{00000007-7C97-460A-8369-7DF7E23A719E}"/>
                </c:ext>
              </c:extLst>
            </c:dLbl>
            <c:dLbl>
              <c:idx val="8"/>
              <c:layout>
                <c:manualLayout>
                  <c:x val="-5.3908355795148251E-3"/>
                  <c:y val="-0.10986265726075263"/>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C97-460A-8369-7DF7E23A719E}"/>
                </c:ext>
              </c:extLst>
            </c:dLbl>
            <c:dLbl>
              <c:idx val="9"/>
              <c:delete val="1"/>
              <c:extLst>
                <c:ext xmlns:c15="http://schemas.microsoft.com/office/drawing/2012/chart" uri="{CE6537A1-D6FC-4f65-9D91-7224C49458BB}"/>
                <c:ext xmlns:c16="http://schemas.microsoft.com/office/drawing/2014/chart" uri="{C3380CC4-5D6E-409C-BE32-E72D297353CC}">
                  <c16:uniqueId val="{00000009-7C97-460A-8369-7DF7E23A719E}"/>
                </c:ext>
              </c:extLst>
            </c:dLbl>
            <c:dLbl>
              <c:idx val="10"/>
              <c:delete val="1"/>
              <c:extLst>
                <c:ext xmlns:c15="http://schemas.microsoft.com/office/drawing/2012/chart" uri="{CE6537A1-D6FC-4f65-9D91-7224C49458BB}"/>
                <c:ext xmlns:c16="http://schemas.microsoft.com/office/drawing/2014/chart" uri="{C3380CC4-5D6E-409C-BE32-E72D297353CC}">
                  <c16:uniqueId val="{0000000A-7C97-460A-8369-7DF7E23A719E}"/>
                </c:ext>
              </c:extLst>
            </c:dLbl>
            <c:dLbl>
              <c:idx val="11"/>
              <c:delete val="1"/>
              <c:extLst>
                <c:ext xmlns:c15="http://schemas.microsoft.com/office/drawing/2012/chart" uri="{CE6537A1-D6FC-4f65-9D91-7224C49458BB}"/>
                <c:ext xmlns:c16="http://schemas.microsoft.com/office/drawing/2014/chart" uri="{C3380CC4-5D6E-409C-BE32-E72D297353CC}">
                  <c16:uniqueId val="{0000000B-7C97-460A-8369-7DF7E23A719E}"/>
                </c:ext>
              </c:extLst>
            </c:dLbl>
            <c:dLbl>
              <c:idx val="12"/>
              <c:layout>
                <c:manualLayout>
                  <c:x val="-7.1877807726864335E-3"/>
                  <c:y val="-0.1498127144464807"/>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C97-460A-8369-7DF7E23A719E}"/>
                </c:ext>
              </c:extLst>
            </c:dLbl>
            <c:dLbl>
              <c:idx val="13"/>
              <c:delete val="1"/>
              <c:extLst>
                <c:ext xmlns:c15="http://schemas.microsoft.com/office/drawing/2012/chart" uri="{CE6537A1-D6FC-4f65-9D91-7224C49458BB}"/>
                <c:ext xmlns:c16="http://schemas.microsoft.com/office/drawing/2014/chart" uri="{C3380CC4-5D6E-409C-BE32-E72D297353CC}">
                  <c16:uniqueId val="{0000000D-7C97-460A-8369-7DF7E23A719E}"/>
                </c:ext>
              </c:extLst>
            </c:dLbl>
            <c:dLbl>
              <c:idx val="14"/>
              <c:delete val="1"/>
              <c:extLst>
                <c:ext xmlns:c15="http://schemas.microsoft.com/office/drawing/2012/chart" uri="{CE6537A1-D6FC-4f65-9D91-7224C49458BB}"/>
                <c:ext xmlns:c16="http://schemas.microsoft.com/office/drawing/2014/chart" uri="{C3380CC4-5D6E-409C-BE32-E72D297353CC}">
                  <c16:uniqueId val="{0000000E-7C97-460A-8369-7DF7E23A719E}"/>
                </c:ext>
              </c:extLst>
            </c:dLbl>
            <c:dLbl>
              <c:idx val="15"/>
              <c:delete val="1"/>
              <c:extLst>
                <c:ext xmlns:c15="http://schemas.microsoft.com/office/drawing/2012/chart" uri="{CE6537A1-D6FC-4f65-9D91-7224C49458BB}"/>
                <c:ext xmlns:c16="http://schemas.microsoft.com/office/drawing/2014/chart" uri="{C3380CC4-5D6E-409C-BE32-E72D297353CC}">
                  <c16:uniqueId val="{0000000F-7C97-460A-8369-7DF7E23A719E}"/>
                </c:ext>
              </c:extLst>
            </c:dLbl>
            <c:dLbl>
              <c:idx val="16"/>
              <c:layout>
                <c:manualLayout>
                  <c:x val="-5.390835579514891E-3"/>
                  <c:y val="-0.19975028592864097"/>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C97-460A-8369-7DF7E23A719E}"/>
                </c:ext>
              </c:extLst>
            </c:dLbl>
            <c:dLbl>
              <c:idx val="17"/>
              <c:delete val="1"/>
              <c:extLst>
                <c:ext xmlns:c15="http://schemas.microsoft.com/office/drawing/2012/chart" uri="{CE6537A1-D6FC-4f65-9D91-7224C49458BB}"/>
                <c:ext xmlns:c16="http://schemas.microsoft.com/office/drawing/2014/chart" uri="{C3380CC4-5D6E-409C-BE32-E72D297353CC}">
                  <c16:uniqueId val="{00000011-7C97-460A-8369-7DF7E23A719E}"/>
                </c:ext>
              </c:extLst>
            </c:dLbl>
            <c:dLbl>
              <c:idx val="18"/>
              <c:delete val="1"/>
              <c:extLst>
                <c:ext xmlns:c15="http://schemas.microsoft.com/office/drawing/2012/chart" uri="{CE6537A1-D6FC-4f65-9D91-7224C49458BB}"/>
                <c:ext xmlns:c16="http://schemas.microsoft.com/office/drawing/2014/chart" uri="{C3380CC4-5D6E-409C-BE32-E72D297353CC}">
                  <c16:uniqueId val="{00000012-7C97-460A-8369-7DF7E23A719E}"/>
                </c:ext>
              </c:extLst>
            </c:dLbl>
            <c:dLbl>
              <c:idx val="19"/>
              <c:delete val="1"/>
              <c:extLst>
                <c:ext xmlns:c15="http://schemas.microsoft.com/office/drawing/2012/chart" uri="{CE6537A1-D6FC-4f65-9D91-7224C49458BB}"/>
                <c:ext xmlns:c16="http://schemas.microsoft.com/office/drawing/2014/chart" uri="{C3380CC4-5D6E-409C-BE32-E72D297353CC}">
                  <c16:uniqueId val="{00000013-7C97-460A-8369-7DF7E23A719E}"/>
                </c:ext>
              </c:extLst>
            </c:dLbl>
            <c:dLbl>
              <c:idx val="20"/>
              <c:layout>
                <c:manualLayout>
                  <c:x val="-1.078167115902965E-2"/>
                  <c:y val="-0.24302951454651311"/>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C97-460A-8369-7DF7E23A719E}"/>
                </c:ext>
              </c:extLst>
            </c:dLbl>
            <c:dLbl>
              <c:idx val="21"/>
              <c:delete val="1"/>
              <c:extLst>
                <c:ext xmlns:c15="http://schemas.microsoft.com/office/drawing/2012/chart" uri="{CE6537A1-D6FC-4f65-9D91-7224C49458BB}"/>
                <c:ext xmlns:c16="http://schemas.microsoft.com/office/drawing/2014/chart" uri="{C3380CC4-5D6E-409C-BE32-E72D297353CC}">
                  <c16:uniqueId val="{00000015-7C97-460A-8369-7DF7E23A719E}"/>
                </c:ext>
              </c:extLst>
            </c:dLbl>
            <c:dLbl>
              <c:idx val="22"/>
              <c:delete val="1"/>
              <c:extLst>
                <c:ext xmlns:c15="http://schemas.microsoft.com/office/drawing/2012/chart" uri="{CE6537A1-D6FC-4f65-9D91-7224C49458BB}"/>
                <c:ext xmlns:c16="http://schemas.microsoft.com/office/drawing/2014/chart" uri="{C3380CC4-5D6E-409C-BE32-E72D297353CC}">
                  <c16:uniqueId val="{00000016-7C97-460A-8369-7DF7E23A719E}"/>
                </c:ext>
              </c:extLst>
            </c:dLbl>
            <c:dLbl>
              <c:idx val="23"/>
              <c:delete val="1"/>
              <c:extLst>
                <c:ext xmlns:c15="http://schemas.microsoft.com/office/drawing/2012/chart" uri="{CE6537A1-D6FC-4f65-9D91-7224C49458BB}"/>
                <c:ext xmlns:c16="http://schemas.microsoft.com/office/drawing/2014/chart" uri="{C3380CC4-5D6E-409C-BE32-E72D297353CC}">
                  <c16:uniqueId val="{00000017-7C97-460A-8369-7DF7E23A719E}"/>
                </c:ext>
              </c:extLst>
            </c:dLbl>
            <c:dLbl>
              <c:idx val="24"/>
              <c:layout>
                <c:manualLayout>
                  <c:x val="-1.4375561545372999E-2"/>
                  <c:y val="-0.27632122886795335"/>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7C97-460A-8369-7DF7E23A719E}"/>
                </c:ext>
              </c:extLst>
            </c:dLbl>
            <c:dLbl>
              <c:idx val="25"/>
              <c:delete val="1"/>
              <c:extLst>
                <c:ext xmlns:c15="http://schemas.microsoft.com/office/drawing/2012/chart" uri="{CE6537A1-D6FC-4f65-9D91-7224C49458BB}"/>
                <c:ext xmlns:c16="http://schemas.microsoft.com/office/drawing/2014/chart" uri="{C3380CC4-5D6E-409C-BE32-E72D297353CC}">
                  <c16:uniqueId val="{00000019-7C97-460A-8369-7DF7E23A719E}"/>
                </c:ext>
              </c:extLst>
            </c:dLbl>
            <c:dLbl>
              <c:idx val="26"/>
              <c:delete val="1"/>
              <c:extLst>
                <c:ext xmlns:c15="http://schemas.microsoft.com/office/drawing/2012/chart" uri="{CE6537A1-D6FC-4f65-9D91-7224C49458BB}"/>
                <c:ext xmlns:c16="http://schemas.microsoft.com/office/drawing/2014/chart" uri="{C3380CC4-5D6E-409C-BE32-E72D297353CC}">
                  <c16:uniqueId val="{0000001A-7C97-460A-8369-7DF7E23A719E}"/>
                </c:ext>
              </c:extLst>
            </c:dLbl>
            <c:dLbl>
              <c:idx val="27"/>
              <c:delete val="1"/>
              <c:extLst>
                <c:ext xmlns:c15="http://schemas.microsoft.com/office/drawing/2012/chart" uri="{CE6537A1-D6FC-4f65-9D91-7224C49458BB}"/>
                <c:ext xmlns:c16="http://schemas.microsoft.com/office/drawing/2014/chart" uri="{C3380CC4-5D6E-409C-BE32-E72D297353CC}">
                  <c16:uniqueId val="{0000001B-7C97-460A-8369-7DF7E23A719E}"/>
                </c:ext>
              </c:extLst>
            </c:dLbl>
            <c:dLbl>
              <c:idx val="28"/>
              <c:layout>
                <c:manualLayout>
                  <c:x val="-1.7969451931716084E-3"/>
                  <c:y val="-0.3229296289179695"/>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7C97-460A-8369-7DF7E23A719E}"/>
                </c:ext>
              </c:extLst>
            </c:dLbl>
            <c:dLbl>
              <c:idx val="29"/>
              <c:delete val="1"/>
              <c:extLst>
                <c:ext xmlns:c15="http://schemas.microsoft.com/office/drawing/2012/chart" uri="{CE6537A1-D6FC-4f65-9D91-7224C49458BB}"/>
                <c:ext xmlns:c16="http://schemas.microsoft.com/office/drawing/2014/chart" uri="{C3380CC4-5D6E-409C-BE32-E72D297353CC}">
                  <c16:uniqueId val="{0000001D-7C97-460A-8369-7DF7E23A719E}"/>
                </c:ext>
              </c:extLst>
            </c:dLbl>
            <c:dLbl>
              <c:idx val="30"/>
              <c:delete val="1"/>
              <c:extLst>
                <c:ext xmlns:c15="http://schemas.microsoft.com/office/drawing/2012/chart" uri="{CE6537A1-D6FC-4f65-9D91-7224C49458BB}"/>
                <c:ext xmlns:c16="http://schemas.microsoft.com/office/drawing/2014/chart" uri="{C3380CC4-5D6E-409C-BE32-E72D297353CC}">
                  <c16:uniqueId val="{0000001E-7C97-460A-8369-7DF7E23A719E}"/>
                </c:ext>
              </c:extLst>
            </c:dLbl>
            <c:dLbl>
              <c:idx val="31"/>
              <c:delete val="1"/>
              <c:extLst>
                <c:ext xmlns:c15="http://schemas.microsoft.com/office/drawing/2012/chart" uri="{CE6537A1-D6FC-4f65-9D91-7224C49458BB}"/>
                <c:ext xmlns:c16="http://schemas.microsoft.com/office/drawing/2014/chart" uri="{C3380CC4-5D6E-409C-BE32-E72D297353CC}">
                  <c16:uniqueId val="{0000001F-7C97-460A-8369-7DF7E23A719E}"/>
                </c:ext>
              </c:extLst>
            </c:dLbl>
            <c:dLbl>
              <c:idx val="32"/>
              <c:layout>
                <c:manualLayout>
                  <c:x val="-8.9847259658581737E-3"/>
                  <c:y val="-0.34956300037512161"/>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7C97-460A-8369-7DF7E23A719E}"/>
                </c:ext>
              </c:extLst>
            </c:dLbl>
            <c:dLbl>
              <c:idx val="33"/>
              <c:delete val="1"/>
              <c:extLst>
                <c:ext xmlns:c15="http://schemas.microsoft.com/office/drawing/2012/chart" uri="{CE6537A1-D6FC-4f65-9D91-7224C49458BB}"/>
                <c:ext xmlns:c16="http://schemas.microsoft.com/office/drawing/2014/chart" uri="{C3380CC4-5D6E-409C-BE32-E72D297353CC}">
                  <c16:uniqueId val="{00000021-7C97-460A-8369-7DF7E23A719E}"/>
                </c:ext>
              </c:extLst>
            </c:dLbl>
            <c:dLbl>
              <c:idx val="34"/>
              <c:delete val="1"/>
              <c:extLst>
                <c:ext xmlns:c15="http://schemas.microsoft.com/office/drawing/2012/chart" uri="{CE6537A1-D6FC-4f65-9D91-7224C49458BB}"/>
                <c:ext xmlns:c16="http://schemas.microsoft.com/office/drawing/2014/chart" uri="{C3380CC4-5D6E-409C-BE32-E72D297353CC}">
                  <c16:uniqueId val="{00000022-7C97-460A-8369-7DF7E23A719E}"/>
                </c:ext>
              </c:extLst>
            </c:dLbl>
            <c:dLbl>
              <c:idx val="35"/>
              <c:delete val="1"/>
              <c:extLst>
                <c:ext xmlns:c15="http://schemas.microsoft.com/office/drawing/2012/chart" uri="{CE6537A1-D6FC-4f65-9D91-7224C49458BB}"/>
                <c:ext xmlns:c16="http://schemas.microsoft.com/office/drawing/2014/chart" uri="{C3380CC4-5D6E-409C-BE32-E72D297353CC}">
                  <c16:uniqueId val="{00000023-7C97-460A-8369-7DF7E23A719E}"/>
                </c:ext>
              </c:extLst>
            </c:dLbl>
            <c:dLbl>
              <c:idx val="36"/>
              <c:layout>
                <c:manualLayout>
                  <c:x val="-2.15633423180593E-2"/>
                  <c:y val="-0.36953802896798577"/>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7C97-460A-8369-7DF7E23A719E}"/>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'Inc Alloc'!$AR$5:$AR$41</c:f>
              <c:strCache>
                <c:ptCount val="37"/>
                <c:pt idx="0">
                  <c:v>FY 86-87 </c:v>
                </c:pt>
                <c:pt idx="1">
                  <c:v>FY 87-88 </c:v>
                </c:pt>
                <c:pt idx="2">
                  <c:v>FY 88-89 </c:v>
                </c:pt>
                <c:pt idx="3">
                  <c:v>FY 89-90 </c:v>
                </c:pt>
                <c:pt idx="4">
                  <c:v>FY 90-91 </c:v>
                </c:pt>
                <c:pt idx="5">
                  <c:v>FY 91-92 </c:v>
                </c:pt>
                <c:pt idx="6">
                  <c:v>FY 92-93 </c:v>
                </c:pt>
                <c:pt idx="7">
                  <c:v>FY 93-94 </c:v>
                </c:pt>
                <c:pt idx="8">
                  <c:v>FY 94-95 </c:v>
                </c:pt>
                <c:pt idx="9">
                  <c:v>FY 95-96 </c:v>
                </c:pt>
                <c:pt idx="10">
                  <c:v>FY 96-97 </c:v>
                </c:pt>
                <c:pt idx="11">
                  <c:v>FY 97-98 </c:v>
                </c:pt>
                <c:pt idx="12">
                  <c:v>FY 98-99 </c:v>
                </c:pt>
                <c:pt idx="13">
                  <c:v>FY 99-00 </c:v>
                </c:pt>
                <c:pt idx="14">
                  <c:v>FY 00-01 </c:v>
                </c:pt>
                <c:pt idx="15">
                  <c:v>FY 01-02 </c:v>
                </c:pt>
                <c:pt idx="16">
                  <c:v>FY 02-03 </c:v>
                </c:pt>
                <c:pt idx="17">
                  <c:v>FY 03-04 </c:v>
                </c:pt>
                <c:pt idx="18">
                  <c:v>FY 04-05 </c:v>
                </c:pt>
                <c:pt idx="19">
                  <c:v>FY 05-06 </c:v>
                </c:pt>
                <c:pt idx="20">
                  <c:v>FY 06-07 </c:v>
                </c:pt>
                <c:pt idx="21">
                  <c:v>FY 07-08 </c:v>
                </c:pt>
                <c:pt idx="22">
                  <c:v>FY 08-09 </c:v>
                </c:pt>
                <c:pt idx="23">
                  <c:v>FY 09-10 </c:v>
                </c:pt>
                <c:pt idx="24">
                  <c:v>FY 10-11 </c:v>
                </c:pt>
                <c:pt idx="25">
                  <c:v>FY 11-12</c:v>
                </c:pt>
                <c:pt idx="26">
                  <c:v>FY 12-13</c:v>
                </c:pt>
                <c:pt idx="27">
                  <c:v>FY 13-14</c:v>
                </c:pt>
                <c:pt idx="28">
                  <c:v>FY 14-15</c:v>
                </c:pt>
                <c:pt idx="29">
                  <c:v>FY 15-16</c:v>
                </c:pt>
                <c:pt idx="30">
                  <c:v>FY 16-17</c:v>
                </c:pt>
                <c:pt idx="31">
                  <c:v>FY 17-18</c:v>
                </c:pt>
                <c:pt idx="32">
                  <c:v>FY 18-19</c:v>
                </c:pt>
                <c:pt idx="33">
                  <c:v>FY 19-20</c:v>
                </c:pt>
                <c:pt idx="34">
                  <c:v>FY 20-21</c:v>
                </c:pt>
                <c:pt idx="35">
                  <c:v>FY 21-22</c:v>
                </c:pt>
                <c:pt idx="36">
                  <c:v>FY 22-23</c:v>
                </c:pt>
              </c:strCache>
            </c:strRef>
          </c:cat>
          <c:val>
            <c:numRef>
              <c:f>'Inc Alloc'!$AY$5:$AY$41</c:f>
              <c:numCache>
                <c:formatCode>#,##0</c:formatCode>
                <c:ptCount val="37"/>
                <c:pt idx="0">
                  <c:v>21.518834420000001</c:v>
                </c:pt>
                <c:pt idx="1">
                  <c:v>60.855451099999996</c:v>
                </c:pt>
                <c:pt idx="2">
                  <c:v>103.88790377999999</c:v>
                </c:pt>
                <c:pt idx="3">
                  <c:v>147.31683597999998</c:v>
                </c:pt>
                <c:pt idx="4">
                  <c:v>198.08661254999998</c:v>
                </c:pt>
                <c:pt idx="5">
                  <c:v>251.82233782999998</c:v>
                </c:pt>
                <c:pt idx="6">
                  <c:v>308.88067054999999</c:v>
                </c:pt>
                <c:pt idx="7">
                  <c:v>370.46940096999998</c:v>
                </c:pt>
                <c:pt idx="8">
                  <c:v>442.91913918</c:v>
                </c:pt>
                <c:pt idx="9">
                  <c:v>494.38307695000003</c:v>
                </c:pt>
                <c:pt idx="10">
                  <c:v>554.00156603000005</c:v>
                </c:pt>
                <c:pt idx="11">
                  <c:v>612.84764472000006</c:v>
                </c:pt>
                <c:pt idx="12">
                  <c:v>669.59577167000009</c:v>
                </c:pt>
                <c:pt idx="13">
                  <c:v>724.7696708200001</c:v>
                </c:pt>
                <c:pt idx="14">
                  <c:v>791.08121476000008</c:v>
                </c:pt>
                <c:pt idx="15">
                  <c:v>842.34394707000013</c:v>
                </c:pt>
                <c:pt idx="16">
                  <c:v>894.18389319000016</c:v>
                </c:pt>
                <c:pt idx="17">
                  <c:v>958.88354597000011</c:v>
                </c:pt>
                <c:pt idx="18">
                  <c:v>1027.3734271500002</c:v>
                </c:pt>
                <c:pt idx="19">
                  <c:v>1086.9823243100002</c:v>
                </c:pt>
                <c:pt idx="20">
                  <c:v>1152.1326125500002</c:v>
                </c:pt>
                <c:pt idx="21">
                  <c:v>1219.8507633400002</c:v>
                </c:pt>
                <c:pt idx="22">
                  <c:v>1288.7152586300001</c:v>
                </c:pt>
                <c:pt idx="23">
                  <c:v>1339.1578563400001</c:v>
                </c:pt>
                <c:pt idx="24">
                  <c:v>1386.0670420500001</c:v>
                </c:pt>
                <c:pt idx="25">
                  <c:v>1433.3066690800001</c:v>
                </c:pt>
                <c:pt idx="26">
                  <c:v>1491.1458180700001</c:v>
                </c:pt>
                <c:pt idx="27">
                  <c:v>1549.7812160200001</c:v>
                </c:pt>
                <c:pt idx="28">
                  <c:v>1591.97492579</c:v>
                </c:pt>
                <c:pt idx="29">
                  <c:v>1634.8449812000001</c:v>
                </c:pt>
                <c:pt idx="30">
                  <c:v>1672.4547495000002</c:v>
                </c:pt>
                <c:pt idx="31">
                  <c:v>1712.8999485200002</c:v>
                </c:pt>
                <c:pt idx="32">
                  <c:v>1754.0608698400001</c:v>
                </c:pt>
                <c:pt idx="33">
                  <c:v>1787.6799982700002</c:v>
                </c:pt>
                <c:pt idx="34" formatCode="_(* #,##0_);_(* \(#,##0\);_(* &quot;-&quot;??_);_(@_)">
                  <c:v>1841.2104228400001</c:v>
                </c:pt>
                <c:pt idx="35" formatCode="_(* #,##0_);_(* \(#,##0\);_(* &quot;-&quot;??_);_(@_)">
                  <c:v>1875.9773365000001</c:v>
                </c:pt>
                <c:pt idx="36" formatCode="_(* #,##0_);_(* \(#,##0\);_(* &quot;-&quot;??_);_(@_)">
                  <c:v>1907.1488805700001</c:v>
                </c:pt>
              </c:numCache>
            </c:numRef>
          </c:val>
          <c:extLst>
            <c:ext xmlns:c16="http://schemas.microsoft.com/office/drawing/2014/chart" uri="{C3380CC4-5D6E-409C-BE32-E72D297353CC}">
              <c16:uniqueId val="{00000025-7C97-460A-8369-7DF7E23A719E}"/>
            </c:ext>
          </c:extLst>
        </c:ser>
        <c:dLbls>
          <c:showLegendKey val="0"/>
          <c:showVal val="0"/>
          <c:showCatName val="0"/>
          <c:showSerName val="0"/>
          <c:showPercent val="0"/>
          <c:showBubbleSize val="0"/>
        </c:dLbls>
        <c:axId val="1344928640"/>
        <c:axId val="1535259760"/>
      </c:areaChart>
      <c:catAx>
        <c:axId val="13449286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30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5259760"/>
        <c:crossesAt val="0"/>
        <c:auto val="1"/>
        <c:lblAlgn val="ctr"/>
        <c:lblOffset val="100"/>
        <c:tickLblSkip val="4"/>
        <c:tickMarkSkip val="1"/>
        <c:noMultiLvlLbl val="0"/>
      </c:catAx>
      <c:valAx>
        <c:axId val="1535259760"/>
        <c:scaling>
          <c:orientation val="minMax"/>
          <c:max val="2000"/>
        </c:scaling>
        <c:delete val="0"/>
        <c:axPos val="l"/>
        <c:majorGridlines>
          <c:spPr>
            <a:ln w="9525" cap="flat" cmpd="sng" algn="ctr">
              <a:solidFill>
                <a:schemeClr val="tx1">
                  <a:lumMod val="15000"/>
                  <a:lumOff val="85000"/>
                </a:schemeClr>
              </a:solidFill>
              <a:round/>
            </a:ln>
            <a:effectLst/>
          </c:spPr>
        </c:majorGridlines>
        <c:numFmt formatCode="0" sourceLinked="0"/>
        <c:majorTickMark val="cross"/>
        <c:minorTickMark val="cross"/>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4928640"/>
        <c:crosses val="autoZero"/>
        <c:crossBetween val="midCat"/>
        <c:majorUnit val="500"/>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6350"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'Inc Alloc'!$H$4</c:f>
              <c:strCache>
                <c:ptCount val="1"/>
                <c:pt idx="0">
                  <c:v>Investment Income</c:v>
                </c:pt>
              </c:strCache>
            </c:strRef>
          </c:tx>
          <c:spPr>
            <a:ln w="28575" cap="rnd">
              <a:solidFill>
                <a:schemeClr val="accent1"/>
              </a:solidFill>
              <a:round/>
            </a:ln>
            <a:effectLst/>
          </c:spPr>
          <c:marker>
            <c:symbol val="none"/>
          </c:marker>
          <c:cat>
            <c:strRef>
              <c:f>'Inc Alloc'!$G$5:$G$41</c:f>
              <c:strCache>
                <c:ptCount val="37"/>
                <c:pt idx="0">
                  <c:v>FY 86-87 </c:v>
                </c:pt>
                <c:pt idx="1">
                  <c:v>FY 87-88 </c:v>
                </c:pt>
                <c:pt idx="2">
                  <c:v>FY 88-89 </c:v>
                </c:pt>
                <c:pt idx="3">
                  <c:v>FY 89-90 </c:v>
                </c:pt>
                <c:pt idx="4">
                  <c:v>FY 90-91 </c:v>
                </c:pt>
                <c:pt idx="5">
                  <c:v>FY 91-92 </c:v>
                </c:pt>
                <c:pt idx="6">
                  <c:v>FY 92-93 </c:v>
                </c:pt>
                <c:pt idx="7">
                  <c:v>FY 93-94 </c:v>
                </c:pt>
                <c:pt idx="8">
                  <c:v>FY 94-95 </c:v>
                </c:pt>
                <c:pt idx="9">
                  <c:v>FY 95-96 </c:v>
                </c:pt>
                <c:pt idx="10">
                  <c:v>FY 96-97 </c:v>
                </c:pt>
                <c:pt idx="11">
                  <c:v>FY 97-98 </c:v>
                </c:pt>
                <c:pt idx="12">
                  <c:v>FY 98-99 </c:v>
                </c:pt>
                <c:pt idx="13">
                  <c:v>FY 99-00 </c:v>
                </c:pt>
                <c:pt idx="14">
                  <c:v>FY 00-01 </c:v>
                </c:pt>
                <c:pt idx="15">
                  <c:v>FY 01-02 </c:v>
                </c:pt>
                <c:pt idx="16">
                  <c:v>FY 02-03 </c:v>
                </c:pt>
                <c:pt idx="17">
                  <c:v>FY 03-04 </c:v>
                </c:pt>
                <c:pt idx="18">
                  <c:v>FY 04-05 </c:v>
                </c:pt>
                <c:pt idx="19">
                  <c:v>FY 05-06 </c:v>
                </c:pt>
                <c:pt idx="20">
                  <c:v>FY 06-07 </c:v>
                </c:pt>
                <c:pt idx="21">
                  <c:v>FY 07-08 </c:v>
                </c:pt>
                <c:pt idx="22">
                  <c:v>FY 08-09 </c:v>
                </c:pt>
                <c:pt idx="23">
                  <c:v>FY 09-10 </c:v>
                </c:pt>
                <c:pt idx="24">
                  <c:v>FY 10-11 </c:v>
                </c:pt>
                <c:pt idx="25">
                  <c:v>FY 11-12 </c:v>
                </c:pt>
                <c:pt idx="26">
                  <c:v>FY 12-13 </c:v>
                </c:pt>
                <c:pt idx="27">
                  <c:v>FY 13-14 </c:v>
                </c:pt>
                <c:pt idx="28">
                  <c:v>FY 14-15 </c:v>
                </c:pt>
                <c:pt idx="29">
                  <c:v>FY 15-16 </c:v>
                </c:pt>
                <c:pt idx="30">
                  <c:v>FY 16-17 </c:v>
                </c:pt>
                <c:pt idx="31">
                  <c:v>FY 17-18 </c:v>
                </c:pt>
                <c:pt idx="32">
                  <c:v>FY 18-19 </c:v>
                </c:pt>
                <c:pt idx="33">
                  <c:v>FY 19-20 </c:v>
                </c:pt>
                <c:pt idx="34">
                  <c:v>FY 20-21 </c:v>
                </c:pt>
                <c:pt idx="35">
                  <c:v>FY 21-22 </c:v>
                </c:pt>
                <c:pt idx="36">
                  <c:v>FY 22-23</c:v>
                </c:pt>
              </c:strCache>
            </c:strRef>
          </c:cat>
          <c:val>
            <c:numRef>
              <c:f>'Inc Alloc'!$H$5:$H$41</c:f>
              <c:numCache>
                <c:formatCode>#,##0.00</c:formatCode>
                <c:ptCount val="37"/>
                <c:pt idx="0">
                  <c:v>20.83110203</c:v>
                </c:pt>
                <c:pt idx="1">
                  <c:v>39.28702406</c:v>
                </c:pt>
                <c:pt idx="2">
                  <c:v>41.031768849999999</c:v>
                </c:pt>
                <c:pt idx="3">
                  <c:v>47.179727729999996</c:v>
                </c:pt>
                <c:pt idx="4">
                  <c:v>56.619277079999996</c:v>
                </c:pt>
                <c:pt idx="5">
                  <c:v>64.249900569999994</c:v>
                </c:pt>
                <c:pt idx="6">
                  <c:v>55.321795340000001</c:v>
                </c:pt>
                <c:pt idx="7">
                  <c:v>50.976822120000001</c:v>
                </c:pt>
                <c:pt idx="8">
                  <c:v>53.006711689999996</c:v>
                </c:pt>
                <c:pt idx="9">
                  <c:v>50.522415579999993</c:v>
                </c:pt>
                <c:pt idx="10">
                  <c:v>52.760442759999997</c:v>
                </c:pt>
                <c:pt idx="11">
                  <c:v>46.995197940000004</c:v>
                </c:pt>
                <c:pt idx="12">
                  <c:v>50.108576470000003</c:v>
                </c:pt>
                <c:pt idx="13">
                  <c:v>53.494536499999995</c:v>
                </c:pt>
                <c:pt idx="14">
                  <c:v>54.353930730000002</c:v>
                </c:pt>
                <c:pt idx="15">
                  <c:v>50.025924140000001</c:v>
                </c:pt>
                <c:pt idx="16">
                  <c:v>49.644997409999995</c:v>
                </c:pt>
                <c:pt idx="17">
                  <c:v>47.755603709999995</c:v>
                </c:pt>
                <c:pt idx="18">
                  <c:v>53.125174319999999</c:v>
                </c:pt>
                <c:pt idx="19">
                  <c:v>55.345985869999993</c:v>
                </c:pt>
                <c:pt idx="20">
                  <c:v>57.407834919999999</c:v>
                </c:pt>
                <c:pt idx="21">
                  <c:v>56.242380220000001</c:v>
                </c:pt>
                <c:pt idx="22">
                  <c:v>52.812883100000001</c:v>
                </c:pt>
                <c:pt idx="23">
                  <c:v>46.688197459999998</c:v>
                </c:pt>
                <c:pt idx="24">
                  <c:v>40.047103990000004</c:v>
                </c:pt>
                <c:pt idx="25">
                  <c:v>38.943799589999998</c:v>
                </c:pt>
                <c:pt idx="26">
                  <c:v>38.71372959</c:v>
                </c:pt>
                <c:pt idx="27">
                  <c:v>39.693426950000003</c:v>
                </c:pt>
                <c:pt idx="28">
                  <c:v>40.289838609999997</c:v>
                </c:pt>
                <c:pt idx="29">
                  <c:v>39.830618090000002</c:v>
                </c:pt>
                <c:pt idx="30">
                  <c:v>39.457435320000002</c:v>
                </c:pt>
                <c:pt idx="31">
                  <c:v>40.614302540000004</c:v>
                </c:pt>
                <c:pt idx="32">
                  <c:v>42.642693079999994</c:v>
                </c:pt>
                <c:pt idx="33">
                  <c:v>41.215805019999991</c:v>
                </c:pt>
                <c:pt idx="34">
                  <c:v>33.139042620000005</c:v>
                </c:pt>
                <c:pt idx="35">
                  <c:v>33.724438069999998</c:v>
                </c:pt>
                <c:pt idx="36">
                  <c:v>36.023579119999994</c:v>
                </c:pt>
              </c:numCache>
            </c:numRef>
          </c:val>
          <c:smooth val="0"/>
          <c:extLst>
            <c:ext xmlns:c16="http://schemas.microsoft.com/office/drawing/2014/chart" uri="{C3380CC4-5D6E-409C-BE32-E72D297353CC}">
              <c16:uniqueId val="{00000000-A3C7-4605-AF6A-99D7C08E2A80}"/>
            </c:ext>
          </c:extLst>
        </c:ser>
        <c:ser>
          <c:idx val="1"/>
          <c:order val="1"/>
          <c:tx>
            <c:strRef>
              <c:f>'Inc Alloc'!$I$4</c:f>
              <c:strCache>
                <c:ptCount val="1"/>
                <c:pt idx="0">
                  <c:v>Capital Gains&amp;Losses</c:v>
                </c:pt>
              </c:strCache>
            </c:strRef>
          </c:tx>
          <c:spPr>
            <a:ln w="28575" cap="rnd">
              <a:solidFill>
                <a:schemeClr val="accent6">
                  <a:lumMod val="75000"/>
                </a:schemeClr>
              </a:solidFill>
              <a:round/>
            </a:ln>
            <a:effectLst/>
          </c:spPr>
          <c:marker>
            <c:symbol val="none"/>
          </c:marker>
          <c:cat>
            <c:strRef>
              <c:f>'Inc Alloc'!$G$5:$G$41</c:f>
              <c:strCache>
                <c:ptCount val="37"/>
                <c:pt idx="0">
                  <c:v>FY 86-87 </c:v>
                </c:pt>
                <c:pt idx="1">
                  <c:v>FY 87-88 </c:v>
                </c:pt>
                <c:pt idx="2">
                  <c:v>FY 88-89 </c:v>
                </c:pt>
                <c:pt idx="3">
                  <c:v>FY 89-90 </c:v>
                </c:pt>
                <c:pt idx="4">
                  <c:v>FY 90-91 </c:v>
                </c:pt>
                <c:pt idx="5">
                  <c:v>FY 91-92 </c:v>
                </c:pt>
                <c:pt idx="6">
                  <c:v>FY 92-93 </c:v>
                </c:pt>
                <c:pt idx="7">
                  <c:v>FY 93-94 </c:v>
                </c:pt>
                <c:pt idx="8">
                  <c:v>FY 94-95 </c:v>
                </c:pt>
                <c:pt idx="9">
                  <c:v>FY 95-96 </c:v>
                </c:pt>
                <c:pt idx="10">
                  <c:v>FY 96-97 </c:v>
                </c:pt>
                <c:pt idx="11">
                  <c:v>FY 97-98 </c:v>
                </c:pt>
                <c:pt idx="12">
                  <c:v>FY 98-99 </c:v>
                </c:pt>
                <c:pt idx="13">
                  <c:v>FY 99-00 </c:v>
                </c:pt>
                <c:pt idx="14">
                  <c:v>FY 00-01 </c:v>
                </c:pt>
                <c:pt idx="15">
                  <c:v>FY 01-02 </c:v>
                </c:pt>
                <c:pt idx="16">
                  <c:v>FY 02-03 </c:v>
                </c:pt>
                <c:pt idx="17">
                  <c:v>FY 03-04 </c:v>
                </c:pt>
                <c:pt idx="18">
                  <c:v>FY 04-05 </c:v>
                </c:pt>
                <c:pt idx="19">
                  <c:v>FY 05-06 </c:v>
                </c:pt>
                <c:pt idx="20">
                  <c:v>FY 06-07 </c:v>
                </c:pt>
                <c:pt idx="21">
                  <c:v>FY 07-08 </c:v>
                </c:pt>
                <c:pt idx="22">
                  <c:v>FY 08-09 </c:v>
                </c:pt>
                <c:pt idx="23">
                  <c:v>FY 09-10 </c:v>
                </c:pt>
                <c:pt idx="24">
                  <c:v>FY 10-11 </c:v>
                </c:pt>
                <c:pt idx="25">
                  <c:v>FY 11-12 </c:v>
                </c:pt>
                <c:pt idx="26">
                  <c:v>FY 12-13 </c:v>
                </c:pt>
                <c:pt idx="27">
                  <c:v>FY 13-14 </c:v>
                </c:pt>
                <c:pt idx="28">
                  <c:v>FY 14-15 </c:v>
                </c:pt>
                <c:pt idx="29">
                  <c:v>FY 15-16 </c:v>
                </c:pt>
                <c:pt idx="30">
                  <c:v>FY 16-17 </c:v>
                </c:pt>
                <c:pt idx="31">
                  <c:v>FY 17-18 </c:v>
                </c:pt>
                <c:pt idx="32">
                  <c:v>FY 18-19 </c:v>
                </c:pt>
                <c:pt idx="33">
                  <c:v>FY 19-20 </c:v>
                </c:pt>
                <c:pt idx="34">
                  <c:v>FY 20-21 </c:v>
                </c:pt>
                <c:pt idx="35">
                  <c:v>FY 21-22 </c:v>
                </c:pt>
                <c:pt idx="36">
                  <c:v>FY 22-23</c:v>
                </c:pt>
              </c:strCache>
            </c:strRef>
          </c:cat>
          <c:val>
            <c:numRef>
              <c:f>'Inc Alloc'!$I$5:$I$41</c:f>
              <c:numCache>
                <c:formatCode>#,##0.00</c:formatCode>
                <c:ptCount val="37"/>
                <c:pt idx="0">
                  <c:v>0</c:v>
                </c:pt>
                <c:pt idx="1">
                  <c:v>0</c:v>
                </c:pt>
                <c:pt idx="2">
                  <c:v>0</c:v>
                </c:pt>
                <c:pt idx="3">
                  <c:v>0</c:v>
                </c:pt>
                <c:pt idx="4">
                  <c:v>0</c:v>
                </c:pt>
                <c:pt idx="5">
                  <c:v>0</c:v>
                </c:pt>
                <c:pt idx="6">
                  <c:v>12.02941747</c:v>
                </c:pt>
                <c:pt idx="7">
                  <c:v>15.97652173</c:v>
                </c:pt>
                <c:pt idx="8">
                  <c:v>-0.18188091000000001</c:v>
                </c:pt>
                <c:pt idx="9">
                  <c:v>0.74172870999999996</c:v>
                </c:pt>
                <c:pt idx="10">
                  <c:v>1.48425992</c:v>
                </c:pt>
                <c:pt idx="11">
                  <c:v>21.396230679999999</c:v>
                </c:pt>
                <c:pt idx="12">
                  <c:v>27.843520899999998</c:v>
                </c:pt>
                <c:pt idx="13">
                  <c:v>6.3082466699999999</c:v>
                </c:pt>
                <c:pt idx="14">
                  <c:v>-4.7830535300000001</c:v>
                </c:pt>
                <c:pt idx="15">
                  <c:v>-7.8565488799999992</c:v>
                </c:pt>
                <c:pt idx="16">
                  <c:v>-0.16135226</c:v>
                </c:pt>
                <c:pt idx="17">
                  <c:v>4.2911000099999992</c:v>
                </c:pt>
                <c:pt idx="18">
                  <c:v>3.8635794999999997</c:v>
                </c:pt>
                <c:pt idx="19">
                  <c:v>-0.14936120999999999</c:v>
                </c:pt>
                <c:pt idx="20">
                  <c:v>2.35777496</c:v>
                </c:pt>
                <c:pt idx="21">
                  <c:v>-0.13267076999999999</c:v>
                </c:pt>
                <c:pt idx="22">
                  <c:v>0.39131361999999997</c:v>
                </c:pt>
                <c:pt idx="23">
                  <c:v>-2.8130943599999996</c:v>
                </c:pt>
                <c:pt idx="24">
                  <c:v>1.8972284399999999</c:v>
                </c:pt>
                <c:pt idx="25">
                  <c:v>7.0775238499999995</c:v>
                </c:pt>
                <c:pt idx="26">
                  <c:v>46.097812749999996</c:v>
                </c:pt>
                <c:pt idx="27">
                  <c:v>53.01769711</c:v>
                </c:pt>
                <c:pt idx="28">
                  <c:v>0.27785368999999999</c:v>
                </c:pt>
                <c:pt idx="29">
                  <c:v>34.320739079999996</c:v>
                </c:pt>
                <c:pt idx="30">
                  <c:v>10.666484279999999</c:v>
                </c:pt>
                <c:pt idx="31">
                  <c:v>19.642399449999999</c:v>
                </c:pt>
                <c:pt idx="32">
                  <c:v>21.69978957</c:v>
                </c:pt>
                <c:pt idx="33">
                  <c:v>4.9869294899999996</c:v>
                </c:pt>
                <c:pt idx="34">
                  <c:v>113.12978306999999</c:v>
                </c:pt>
                <c:pt idx="35">
                  <c:v>27.638076539999997</c:v>
                </c:pt>
                <c:pt idx="36">
                  <c:v>2.5384608499999999</c:v>
                </c:pt>
              </c:numCache>
            </c:numRef>
          </c:val>
          <c:smooth val="0"/>
          <c:extLst>
            <c:ext xmlns:c16="http://schemas.microsoft.com/office/drawing/2014/chart" uri="{C3380CC4-5D6E-409C-BE32-E72D297353CC}">
              <c16:uniqueId val="{00000001-A3C7-4605-AF6A-99D7C08E2A80}"/>
            </c:ext>
          </c:extLst>
        </c:ser>
        <c:ser>
          <c:idx val="2"/>
          <c:order val="2"/>
          <c:tx>
            <c:strRef>
              <c:f>'Inc Alloc'!$J$4</c:f>
              <c:strCache>
                <c:ptCount val="1"/>
                <c:pt idx="0">
                  <c:v>Royalties</c:v>
                </c:pt>
              </c:strCache>
            </c:strRef>
          </c:tx>
          <c:spPr>
            <a:ln w="28575" cap="rnd">
              <a:solidFill>
                <a:srgbClr val="00B050"/>
              </a:solidFill>
              <a:round/>
            </a:ln>
            <a:effectLst/>
          </c:spPr>
          <c:marker>
            <c:symbol val="none"/>
          </c:marker>
          <c:cat>
            <c:strRef>
              <c:f>'Inc Alloc'!$G$5:$G$41</c:f>
              <c:strCache>
                <c:ptCount val="37"/>
                <c:pt idx="0">
                  <c:v>FY 86-87 </c:v>
                </c:pt>
                <c:pt idx="1">
                  <c:v>FY 87-88 </c:v>
                </c:pt>
                <c:pt idx="2">
                  <c:v>FY 88-89 </c:v>
                </c:pt>
                <c:pt idx="3">
                  <c:v>FY 89-90 </c:v>
                </c:pt>
                <c:pt idx="4">
                  <c:v>FY 90-91 </c:v>
                </c:pt>
                <c:pt idx="5">
                  <c:v>FY 91-92 </c:v>
                </c:pt>
                <c:pt idx="6">
                  <c:v>FY 92-93 </c:v>
                </c:pt>
                <c:pt idx="7">
                  <c:v>FY 93-94 </c:v>
                </c:pt>
                <c:pt idx="8">
                  <c:v>FY 94-95 </c:v>
                </c:pt>
                <c:pt idx="9">
                  <c:v>FY 95-96 </c:v>
                </c:pt>
                <c:pt idx="10">
                  <c:v>FY 96-97 </c:v>
                </c:pt>
                <c:pt idx="11">
                  <c:v>FY 97-98 </c:v>
                </c:pt>
                <c:pt idx="12">
                  <c:v>FY 98-99 </c:v>
                </c:pt>
                <c:pt idx="13">
                  <c:v>FY 99-00 </c:v>
                </c:pt>
                <c:pt idx="14">
                  <c:v>FY 00-01 </c:v>
                </c:pt>
                <c:pt idx="15">
                  <c:v>FY 01-02 </c:v>
                </c:pt>
                <c:pt idx="16">
                  <c:v>FY 02-03 </c:v>
                </c:pt>
                <c:pt idx="17">
                  <c:v>FY 03-04 </c:v>
                </c:pt>
                <c:pt idx="18">
                  <c:v>FY 04-05 </c:v>
                </c:pt>
                <c:pt idx="19">
                  <c:v>FY 05-06 </c:v>
                </c:pt>
                <c:pt idx="20">
                  <c:v>FY 06-07 </c:v>
                </c:pt>
                <c:pt idx="21">
                  <c:v>FY 07-08 </c:v>
                </c:pt>
                <c:pt idx="22">
                  <c:v>FY 08-09 </c:v>
                </c:pt>
                <c:pt idx="23">
                  <c:v>FY 09-10 </c:v>
                </c:pt>
                <c:pt idx="24">
                  <c:v>FY 10-11 </c:v>
                </c:pt>
                <c:pt idx="25">
                  <c:v>FY 11-12 </c:v>
                </c:pt>
                <c:pt idx="26">
                  <c:v>FY 12-13 </c:v>
                </c:pt>
                <c:pt idx="27">
                  <c:v>FY 13-14 </c:v>
                </c:pt>
                <c:pt idx="28">
                  <c:v>FY 14-15 </c:v>
                </c:pt>
                <c:pt idx="29">
                  <c:v>FY 15-16 </c:v>
                </c:pt>
                <c:pt idx="30">
                  <c:v>FY 16-17 </c:v>
                </c:pt>
                <c:pt idx="31">
                  <c:v>FY 17-18 </c:v>
                </c:pt>
                <c:pt idx="32">
                  <c:v>FY 18-19 </c:v>
                </c:pt>
                <c:pt idx="33">
                  <c:v>FY 19-20 </c:v>
                </c:pt>
                <c:pt idx="34">
                  <c:v>FY 20-21 </c:v>
                </c:pt>
                <c:pt idx="35">
                  <c:v>FY 21-22 </c:v>
                </c:pt>
                <c:pt idx="36">
                  <c:v>FY 22-23</c:v>
                </c:pt>
              </c:strCache>
            </c:strRef>
          </c:cat>
          <c:val>
            <c:numRef>
              <c:f>'Inc Alloc'!$J$5:$J$41</c:f>
              <c:numCache>
                <c:formatCode>#,##0.00</c:formatCode>
                <c:ptCount val="37"/>
                <c:pt idx="0">
                  <c:v>10.38067717</c:v>
                </c:pt>
                <c:pt idx="1">
                  <c:v>15.68179814</c:v>
                </c:pt>
                <c:pt idx="2">
                  <c:v>18.86483475</c:v>
                </c:pt>
                <c:pt idx="3">
                  <c:v>13.245515189999999</c:v>
                </c:pt>
                <c:pt idx="4">
                  <c:v>13.59375831</c:v>
                </c:pt>
                <c:pt idx="5">
                  <c:v>13.277733119999999</c:v>
                </c:pt>
                <c:pt idx="6">
                  <c:v>14.606564119999998</c:v>
                </c:pt>
                <c:pt idx="7">
                  <c:v>21.044963289999998</c:v>
                </c:pt>
                <c:pt idx="8">
                  <c:v>14.774261210000001</c:v>
                </c:pt>
                <c:pt idx="9">
                  <c:v>17.96985853</c:v>
                </c:pt>
                <c:pt idx="10">
                  <c:v>26.419456059999998</c:v>
                </c:pt>
                <c:pt idx="11">
                  <c:v>24.585874559999997</c:v>
                </c:pt>
                <c:pt idx="12">
                  <c:v>16.830485829999997</c:v>
                </c:pt>
                <c:pt idx="13">
                  <c:v>18.669189079999999</c:v>
                </c:pt>
                <c:pt idx="14">
                  <c:v>36.158347479999996</c:v>
                </c:pt>
                <c:pt idx="15">
                  <c:v>19.731662419999999</c:v>
                </c:pt>
                <c:pt idx="16">
                  <c:v>18.747663059999997</c:v>
                </c:pt>
                <c:pt idx="17">
                  <c:v>36.123591560000001</c:v>
                </c:pt>
                <c:pt idx="18">
                  <c:v>35.870401530000002</c:v>
                </c:pt>
                <c:pt idx="19">
                  <c:v>28.535487759999999</c:v>
                </c:pt>
                <c:pt idx="20">
                  <c:v>27.586102039999997</c:v>
                </c:pt>
                <c:pt idx="21">
                  <c:v>33.020104789999998</c:v>
                </c:pt>
                <c:pt idx="22">
                  <c:v>38.020941869999994</c:v>
                </c:pt>
                <c:pt idx="23">
                  <c:v>21.01814925</c:v>
                </c:pt>
                <c:pt idx="24">
                  <c:v>21.673915210000001</c:v>
                </c:pt>
                <c:pt idx="25">
                  <c:v>21.551888969999997</c:v>
                </c:pt>
                <c:pt idx="26">
                  <c:v>22.884597399999997</c:v>
                </c:pt>
                <c:pt idx="27">
                  <c:v>20.63953712</c:v>
                </c:pt>
                <c:pt idx="28">
                  <c:v>15.662210669999999</c:v>
                </c:pt>
                <c:pt idx="29">
                  <c:v>7.60122958</c:v>
                </c:pt>
                <c:pt idx="30">
                  <c:v>7.0897860499999998</c:v>
                </c:pt>
                <c:pt idx="31">
                  <c:v>6.5692775899999996</c:v>
                </c:pt>
                <c:pt idx="32">
                  <c:v>4.7016862000000001</c:v>
                </c:pt>
                <c:pt idx="33">
                  <c:v>1.69891551</c:v>
                </c:pt>
                <c:pt idx="34">
                  <c:v>0.23007467999999998</c:v>
                </c:pt>
                <c:pt idx="35">
                  <c:v>3.2089763499999999</c:v>
                </c:pt>
                <c:pt idx="36">
                  <c:v>4.4698945399999994</c:v>
                </c:pt>
              </c:numCache>
            </c:numRef>
          </c:val>
          <c:smooth val="0"/>
          <c:extLst>
            <c:ext xmlns:c16="http://schemas.microsoft.com/office/drawing/2014/chart" uri="{C3380CC4-5D6E-409C-BE32-E72D297353CC}">
              <c16:uniqueId val="{00000002-A3C7-4605-AF6A-99D7C08E2A80}"/>
            </c:ext>
          </c:extLst>
        </c:ser>
        <c:dLbls>
          <c:showLegendKey val="0"/>
          <c:showVal val="0"/>
          <c:showCatName val="0"/>
          <c:showSerName val="0"/>
          <c:showPercent val="0"/>
          <c:showBubbleSize val="0"/>
        </c:dLbls>
        <c:smooth val="0"/>
        <c:axId val="1333622384"/>
        <c:axId val="1535284560"/>
      </c:lineChart>
      <c:catAx>
        <c:axId val="13336223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222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5284560"/>
        <c:crosses val="autoZero"/>
        <c:auto val="1"/>
        <c:lblAlgn val="ctr"/>
        <c:lblOffset val="100"/>
        <c:tickLblSkip val="4"/>
        <c:noMultiLvlLbl val="0"/>
      </c:catAx>
      <c:valAx>
        <c:axId val="1535284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a:t>
                </a:r>
                <a:r>
                  <a:rPr lang="en-US" b="1"/>
                  <a:t>$ Millions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3622384"/>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6350"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Royalties!$S$49</c:f>
              <c:strCache>
                <c:ptCount val="1"/>
                <c:pt idx="0">
                  <c:v>Royalties</c:v>
                </c:pt>
              </c:strCache>
            </c:strRef>
          </c:tx>
          <c:spPr>
            <a:solidFill>
              <a:schemeClr val="accent1"/>
            </a:solidFill>
            <a:ln>
              <a:noFill/>
            </a:ln>
            <a:effectLst/>
          </c:spPr>
          <c:invertIfNegative val="0"/>
          <c:trendline>
            <c:spPr>
              <a:ln w="19050" cap="rnd">
                <a:solidFill>
                  <a:srgbClr val="FF0000"/>
                </a:solidFill>
                <a:prstDash val="solid"/>
              </a:ln>
              <a:effectLst/>
            </c:spPr>
            <c:trendlineType val="movingAvg"/>
            <c:period val="5"/>
            <c:dispRSqr val="0"/>
            <c:dispEq val="0"/>
          </c:trendline>
          <c:cat>
            <c:strRef>
              <c:f>Royalties!$R$50:$R$86</c:f>
              <c:strCache>
                <c:ptCount val="37"/>
                <c:pt idx="0">
                  <c:v>FY 86-87</c:v>
                </c:pt>
                <c:pt idx="1">
                  <c:v>FY 87-88</c:v>
                </c:pt>
                <c:pt idx="2">
                  <c:v>FY 88-89</c:v>
                </c:pt>
                <c:pt idx="3">
                  <c:v>FY 89-90</c:v>
                </c:pt>
                <c:pt idx="4">
                  <c:v>FY 90-91</c:v>
                </c:pt>
                <c:pt idx="5">
                  <c:v>FY 91-92</c:v>
                </c:pt>
                <c:pt idx="6">
                  <c:v>FY 92-93</c:v>
                </c:pt>
                <c:pt idx="7">
                  <c:v>FY 93-94</c:v>
                </c:pt>
                <c:pt idx="8">
                  <c:v>FY 94-95</c:v>
                </c:pt>
                <c:pt idx="9">
                  <c:v>FY 95-96</c:v>
                </c:pt>
                <c:pt idx="10">
                  <c:v>FY 96-97</c:v>
                </c:pt>
                <c:pt idx="11">
                  <c:v>FY 97-98</c:v>
                </c:pt>
                <c:pt idx="12">
                  <c:v>FY 98-99</c:v>
                </c:pt>
                <c:pt idx="13">
                  <c:v>FY 99-00</c:v>
                </c:pt>
                <c:pt idx="14">
                  <c:v>FY 00-01</c:v>
                </c:pt>
                <c:pt idx="15">
                  <c:v>FY 01-02</c:v>
                </c:pt>
                <c:pt idx="16">
                  <c:v>FY 02-03</c:v>
                </c:pt>
                <c:pt idx="17">
                  <c:v>FY 03-04</c:v>
                </c:pt>
                <c:pt idx="18">
                  <c:v>FY 04-05</c:v>
                </c:pt>
                <c:pt idx="19">
                  <c:v>FY 05-06</c:v>
                </c:pt>
                <c:pt idx="20">
                  <c:v>FY 06-07</c:v>
                </c:pt>
                <c:pt idx="21">
                  <c:v>FY 07-08</c:v>
                </c:pt>
                <c:pt idx="22">
                  <c:v>FY 08-09</c:v>
                </c:pt>
                <c:pt idx="23">
                  <c:v>FY 09-10</c:v>
                </c:pt>
                <c:pt idx="24">
                  <c:v>FY 10-11</c:v>
                </c:pt>
                <c:pt idx="25">
                  <c:v>FY 11-12</c:v>
                </c:pt>
                <c:pt idx="26">
                  <c:v>FY 12-13</c:v>
                </c:pt>
                <c:pt idx="27">
                  <c:v>FY 13-14</c:v>
                </c:pt>
                <c:pt idx="28">
                  <c:v>FY 14-15</c:v>
                </c:pt>
                <c:pt idx="29">
                  <c:v>FY 15-16</c:v>
                </c:pt>
                <c:pt idx="30">
                  <c:v>FY 16-17</c:v>
                </c:pt>
                <c:pt idx="31">
                  <c:v>FY 17-18</c:v>
                </c:pt>
                <c:pt idx="32">
                  <c:v>FY 18-19</c:v>
                </c:pt>
                <c:pt idx="33">
                  <c:v>FY 19-20</c:v>
                </c:pt>
                <c:pt idx="34">
                  <c:v>FY 20-21</c:v>
                </c:pt>
                <c:pt idx="35">
                  <c:v>FY 21-22</c:v>
                </c:pt>
                <c:pt idx="36">
                  <c:v>FY 22-23</c:v>
                </c:pt>
              </c:strCache>
            </c:strRef>
          </c:cat>
          <c:val>
            <c:numRef>
              <c:f>Royalties!$S$50:$S$86</c:f>
              <c:numCache>
                <c:formatCode>"$"#,##0.00</c:formatCode>
                <c:ptCount val="37"/>
                <c:pt idx="0">
                  <c:v>10380677.17</c:v>
                </c:pt>
                <c:pt idx="1">
                  <c:v>15681798.140000001</c:v>
                </c:pt>
                <c:pt idx="2">
                  <c:v>18864834.75</c:v>
                </c:pt>
                <c:pt idx="3">
                  <c:v>13245515.189999999</c:v>
                </c:pt>
                <c:pt idx="4">
                  <c:v>13593758.310000001</c:v>
                </c:pt>
                <c:pt idx="5">
                  <c:v>13277733.119999999</c:v>
                </c:pt>
                <c:pt idx="6">
                  <c:v>14606564.119999999</c:v>
                </c:pt>
                <c:pt idx="7">
                  <c:v>21044963.289999999</c:v>
                </c:pt>
                <c:pt idx="8">
                  <c:v>14774261.210000001</c:v>
                </c:pt>
                <c:pt idx="9">
                  <c:v>17969858.530000001</c:v>
                </c:pt>
                <c:pt idx="10">
                  <c:v>26419456.059999999</c:v>
                </c:pt>
                <c:pt idx="11">
                  <c:v>24585874.559999999</c:v>
                </c:pt>
                <c:pt idx="12">
                  <c:v>16830485.829999998</c:v>
                </c:pt>
                <c:pt idx="13">
                  <c:v>18669189.079999998</c:v>
                </c:pt>
                <c:pt idx="14">
                  <c:v>36158347.479999997</c:v>
                </c:pt>
                <c:pt idx="15">
                  <c:v>19731662.420000002</c:v>
                </c:pt>
                <c:pt idx="16">
                  <c:v>18747663.059999999</c:v>
                </c:pt>
                <c:pt idx="17">
                  <c:v>36123591.560000002</c:v>
                </c:pt>
                <c:pt idx="18">
                  <c:v>35870401.530000001</c:v>
                </c:pt>
                <c:pt idx="19">
                  <c:v>28535487.760000002</c:v>
                </c:pt>
                <c:pt idx="20">
                  <c:v>27586102.039999999</c:v>
                </c:pt>
                <c:pt idx="21">
                  <c:v>33020104.789999999</c:v>
                </c:pt>
                <c:pt idx="22">
                  <c:v>38020941.869999997</c:v>
                </c:pt>
                <c:pt idx="23">
                  <c:v>21018149.25</c:v>
                </c:pt>
                <c:pt idx="24">
                  <c:v>21673915.210000001</c:v>
                </c:pt>
                <c:pt idx="25">
                  <c:v>21551888.969999999</c:v>
                </c:pt>
                <c:pt idx="26">
                  <c:v>22884597.399999999</c:v>
                </c:pt>
                <c:pt idx="27">
                  <c:v>20639537.120000001</c:v>
                </c:pt>
                <c:pt idx="28">
                  <c:v>15662210.67</c:v>
                </c:pt>
                <c:pt idx="29">
                  <c:v>7601229.5800000001</c:v>
                </c:pt>
                <c:pt idx="30">
                  <c:v>7089786.0499999998</c:v>
                </c:pt>
                <c:pt idx="31">
                  <c:v>6569277.5899999999</c:v>
                </c:pt>
                <c:pt idx="32">
                  <c:v>4701686.2</c:v>
                </c:pt>
                <c:pt idx="33">
                  <c:v>1698915.51</c:v>
                </c:pt>
                <c:pt idx="34" formatCode="#,##0.00">
                  <c:v>230074.68</c:v>
                </c:pt>
                <c:pt idx="35" formatCode="#,##0.00">
                  <c:v>3208976.35</c:v>
                </c:pt>
                <c:pt idx="36" formatCode="#,##0.00">
                  <c:v>4469894.54</c:v>
                </c:pt>
              </c:numCache>
            </c:numRef>
          </c:val>
          <c:extLst>
            <c:ext xmlns:c16="http://schemas.microsoft.com/office/drawing/2014/chart" uri="{C3380CC4-5D6E-409C-BE32-E72D297353CC}">
              <c16:uniqueId val="{00000001-9AD7-447A-AB20-6F1412901AA1}"/>
            </c:ext>
          </c:extLst>
        </c:ser>
        <c:dLbls>
          <c:showLegendKey val="0"/>
          <c:showVal val="0"/>
          <c:showCatName val="0"/>
          <c:showSerName val="0"/>
          <c:showPercent val="0"/>
          <c:showBubbleSize val="0"/>
        </c:dLbls>
        <c:gapWidth val="100"/>
        <c:overlap val="-27"/>
        <c:axId val="840966591"/>
        <c:axId val="840973247"/>
      </c:barChart>
      <c:catAx>
        <c:axId val="8409665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w="6350">
                  <a:noFill/>
                </a:ln>
                <a:solidFill>
                  <a:schemeClr val="tx1">
                    <a:lumMod val="65000"/>
                    <a:lumOff val="35000"/>
                  </a:schemeClr>
                </a:solidFill>
                <a:latin typeface="+mn-lt"/>
                <a:ea typeface="+mn-ea"/>
                <a:cs typeface="+mn-cs"/>
              </a:defRPr>
            </a:pPr>
            <a:endParaRPr lang="en-US"/>
          </a:p>
        </c:txPr>
        <c:crossAx val="840973247"/>
        <c:crosses val="autoZero"/>
        <c:auto val="1"/>
        <c:lblAlgn val="ctr"/>
        <c:lblOffset val="100"/>
        <c:noMultiLvlLbl val="0"/>
      </c:catAx>
      <c:valAx>
        <c:axId val="840973247"/>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w="6350">
                  <a:noFill/>
                </a:ln>
                <a:solidFill>
                  <a:schemeClr val="tx1">
                    <a:lumMod val="65000"/>
                    <a:lumOff val="35000"/>
                  </a:schemeClr>
                </a:solidFill>
                <a:latin typeface="+mn-lt"/>
                <a:ea typeface="+mn-ea"/>
                <a:cs typeface="+mn-cs"/>
              </a:defRPr>
            </a:pPr>
            <a:endParaRPr lang="en-US"/>
          </a:p>
        </c:txPr>
        <c:crossAx val="840966591"/>
        <c:crosses val="autoZero"/>
        <c:crossBetween val="between"/>
      </c:valAx>
      <c:spPr>
        <a:noFill/>
        <a:ln>
          <a:noFill/>
        </a:ln>
        <a:effectLst/>
      </c:spPr>
    </c:plotArea>
    <c:plotVisOnly val="1"/>
    <c:dispBlanksAs val="gap"/>
    <c:showDLblsOverMax val="0"/>
  </c:chart>
  <c:spPr>
    <a:solidFill>
      <a:schemeClr val="bg1"/>
    </a:solidFill>
    <a:ln w="6350" cap="flat" cmpd="sng" algn="ctr">
      <a:solidFill>
        <a:sysClr val="windowText" lastClr="000000"/>
      </a:solidFill>
      <a:round/>
    </a:ln>
    <a:effectLst/>
  </c:spPr>
  <c:txPr>
    <a:bodyPr/>
    <a:lstStyle/>
    <a:p>
      <a:pPr>
        <a:defRPr>
          <a:ln w="6350">
            <a:noFill/>
          </a:ln>
        </a:defRPr>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ndard"/>
        <c:varyColors val="0"/>
        <c:ser>
          <c:idx val="0"/>
          <c:order val="0"/>
          <c:tx>
            <c:strRef>
              <c:f>'Inc Alloc'!$AQ$4</c:f>
              <c:strCache>
                <c:ptCount val="1"/>
                <c:pt idx="0">
                  <c:v>Cumulative to Fund</c:v>
                </c:pt>
              </c:strCache>
            </c:strRef>
          </c:tx>
          <c:spPr>
            <a:solidFill>
              <a:schemeClr val="accent1">
                <a:lumMod val="60000"/>
                <a:lumOff val="40000"/>
              </a:schemeClr>
            </a:solidFill>
          </c:spPr>
          <c:dLbls>
            <c:dLbl>
              <c:idx val="0"/>
              <c:layout>
                <c:manualLayout>
                  <c:x val="1.6260162601626018E-2"/>
                  <c:y val="-3.6900369003690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FC-43DE-8E1B-361D056F5933}"/>
                </c:ext>
              </c:extLst>
            </c:dLbl>
            <c:dLbl>
              <c:idx val="1"/>
              <c:delete val="1"/>
              <c:extLst>
                <c:ext xmlns:c15="http://schemas.microsoft.com/office/drawing/2012/chart" uri="{CE6537A1-D6FC-4f65-9D91-7224C49458BB}"/>
                <c:ext xmlns:c16="http://schemas.microsoft.com/office/drawing/2014/chart" uri="{C3380CC4-5D6E-409C-BE32-E72D297353CC}">
                  <c16:uniqueId val="{00000001-54FC-43DE-8E1B-361D056F5933}"/>
                </c:ext>
              </c:extLst>
            </c:dLbl>
            <c:dLbl>
              <c:idx val="2"/>
              <c:delete val="1"/>
              <c:extLst>
                <c:ext xmlns:c15="http://schemas.microsoft.com/office/drawing/2012/chart" uri="{CE6537A1-D6FC-4f65-9D91-7224C49458BB}"/>
                <c:ext xmlns:c16="http://schemas.microsoft.com/office/drawing/2014/chart" uri="{C3380CC4-5D6E-409C-BE32-E72D297353CC}">
                  <c16:uniqueId val="{00000002-54FC-43DE-8E1B-361D056F5933}"/>
                </c:ext>
              </c:extLst>
            </c:dLbl>
            <c:dLbl>
              <c:idx val="3"/>
              <c:delete val="1"/>
              <c:extLst>
                <c:ext xmlns:c15="http://schemas.microsoft.com/office/drawing/2012/chart" uri="{CE6537A1-D6FC-4f65-9D91-7224C49458BB}"/>
                <c:ext xmlns:c16="http://schemas.microsoft.com/office/drawing/2014/chart" uri="{C3380CC4-5D6E-409C-BE32-E72D297353CC}">
                  <c16:uniqueId val="{00000003-54FC-43DE-8E1B-361D056F5933}"/>
                </c:ext>
              </c:extLst>
            </c:dLbl>
            <c:dLbl>
              <c:idx val="4"/>
              <c:layout>
                <c:manualLayout>
                  <c:x val="5.4200542005420054E-3"/>
                  <c:y val="-6.64206642066421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4FC-43DE-8E1B-361D056F5933}"/>
                </c:ext>
              </c:extLst>
            </c:dLbl>
            <c:dLbl>
              <c:idx val="5"/>
              <c:delete val="1"/>
              <c:extLst>
                <c:ext xmlns:c15="http://schemas.microsoft.com/office/drawing/2012/chart" uri="{CE6537A1-D6FC-4f65-9D91-7224C49458BB}"/>
                <c:ext xmlns:c16="http://schemas.microsoft.com/office/drawing/2014/chart" uri="{C3380CC4-5D6E-409C-BE32-E72D297353CC}">
                  <c16:uniqueId val="{00000005-54FC-43DE-8E1B-361D056F5933}"/>
                </c:ext>
              </c:extLst>
            </c:dLbl>
            <c:dLbl>
              <c:idx val="6"/>
              <c:delete val="1"/>
              <c:extLst>
                <c:ext xmlns:c15="http://schemas.microsoft.com/office/drawing/2012/chart" uri="{CE6537A1-D6FC-4f65-9D91-7224C49458BB}"/>
                <c:ext xmlns:c16="http://schemas.microsoft.com/office/drawing/2014/chart" uri="{C3380CC4-5D6E-409C-BE32-E72D297353CC}">
                  <c16:uniqueId val="{00000006-54FC-43DE-8E1B-361D056F5933}"/>
                </c:ext>
              </c:extLst>
            </c:dLbl>
            <c:dLbl>
              <c:idx val="7"/>
              <c:delete val="1"/>
              <c:extLst>
                <c:ext xmlns:c15="http://schemas.microsoft.com/office/drawing/2012/chart" uri="{CE6537A1-D6FC-4f65-9D91-7224C49458BB}"/>
                <c:ext xmlns:c16="http://schemas.microsoft.com/office/drawing/2014/chart" uri="{C3380CC4-5D6E-409C-BE32-E72D297353CC}">
                  <c16:uniqueId val="{00000007-54FC-43DE-8E1B-361D056F5933}"/>
                </c:ext>
              </c:extLst>
            </c:dLbl>
            <c:dLbl>
              <c:idx val="8"/>
              <c:layout>
                <c:manualLayout>
                  <c:x val="0"/>
                  <c:y val="-0.100861008610086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4FC-43DE-8E1B-361D056F5933}"/>
                </c:ext>
              </c:extLst>
            </c:dLbl>
            <c:dLbl>
              <c:idx val="9"/>
              <c:delete val="1"/>
              <c:extLst>
                <c:ext xmlns:c15="http://schemas.microsoft.com/office/drawing/2012/chart" uri="{CE6537A1-D6FC-4f65-9D91-7224C49458BB}"/>
                <c:ext xmlns:c16="http://schemas.microsoft.com/office/drawing/2014/chart" uri="{C3380CC4-5D6E-409C-BE32-E72D297353CC}">
                  <c16:uniqueId val="{00000009-54FC-43DE-8E1B-361D056F5933}"/>
                </c:ext>
              </c:extLst>
            </c:dLbl>
            <c:dLbl>
              <c:idx val="10"/>
              <c:delete val="1"/>
              <c:extLst>
                <c:ext xmlns:c15="http://schemas.microsoft.com/office/drawing/2012/chart" uri="{CE6537A1-D6FC-4f65-9D91-7224C49458BB}"/>
                <c:ext xmlns:c16="http://schemas.microsoft.com/office/drawing/2014/chart" uri="{C3380CC4-5D6E-409C-BE32-E72D297353CC}">
                  <c16:uniqueId val="{0000000A-54FC-43DE-8E1B-361D056F5933}"/>
                </c:ext>
              </c:extLst>
            </c:dLbl>
            <c:dLbl>
              <c:idx val="11"/>
              <c:delete val="1"/>
              <c:extLst>
                <c:ext xmlns:c15="http://schemas.microsoft.com/office/drawing/2012/chart" uri="{CE6537A1-D6FC-4f65-9D91-7224C49458BB}"/>
                <c:ext xmlns:c16="http://schemas.microsoft.com/office/drawing/2014/chart" uri="{C3380CC4-5D6E-409C-BE32-E72D297353CC}">
                  <c16:uniqueId val="{0000000B-54FC-43DE-8E1B-361D056F5933}"/>
                </c:ext>
              </c:extLst>
            </c:dLbl>
            <c:dLbl>
              <c:idx val="12"/>
              <c:layout>
                <c:manualLayout>
                  <c:x val="0"/>
                  <c:y val="-0.154981549815498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4FC-43DE-8E1B-361D056F5933}"/>
                </c:ext>
              </c:extLst>
            </c:dLbl>
            <c:dLbl>
              <c:idx val="13"/>
              <c:delete val="1"/>
              <c:extLst>
                <c:ext xmlns:c15="http://schemas.microsoft.com/office/drawing/2012/chart" uri="{CE6537A1-D6FC-4f65-9D91-7224C49458BB}"/>
                <c:ext xmlns:c16="http://schemas.microsoft.com/office/drawing/2014/chart" uri="{C3380CC4-5D6E-409C-BE32-E72D297353CC}">
                  <c16:uniqueId val="{0000000D-54FC-43DE-8E1B-361D056F5933}"/>
                </c:ext>
              </c:extLst>
            </c:dLbl>
            <c:dLbl>
              <c:idx val="14"/>
              <c:delete val="1"/>
              <c:extLst>
                <c:ext xmlns:c15="http://schemas.microsoft.com/office/drawing/2012/chart" uri="{CE6537A1-D6FC-4f65-9D91-7224C49458BB}"/>
                <c:ext xmlns:c16="http://schemas.microsoft.com/office/drawing/2014/chart" uri="{C3380CC4-5D6E-409C-BE32-E72D297353CC}">
                  <c16:uniqueId val="{0000000E-54FC-43DE-8E1B-361D056F5933}"/>
                </c:ext>
              </c:extLst>
            </c:dLbl>
            <c:dLbl>
              <c:idx val="15"/>
              <c:delete val="1"/>
              <c:extLst>
                <c:ext xmlns:c15="http://schemas.microsoft.com/office/drawing/2012/chart" uri="{CE6537A1-D6FC-4f65-9D91-7224C49458BB}"/>
                <c:ext xmlns:c16="http://schemas.microsoft.com/office/drawing/2014/chart" uri="{C3380CC4-5D6E-409C-BE32-E72D297353CC}">
                  <c16:uniqueId val="{0000000F-54FC-43DE-8E1B-361D056F5933}"/>
                </c:ext>
              </c:extLst>
            </c:dLbl>
            <c:dLbl>
              <c:idx val="16"/>
              <c:layout>
                <c:manualLayout>
                  <c:x val="-7.2267389340560737E-3"/>
                  <c:y val="-0.184501845018450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4FC-43DE-8E1B-361D056F5933}"/>
                </c:ext>
              </c:extLst>
            </c:dLbl>
            <c:dLbl>
              <c:idx val="17"/>
              <c:delete val="1"/>
              <c:extLst>
                <c:ext xmlns:c15="http://schemas.microsoft.com/office/drawing/2012/chart" uri="{CE6537A1-D6FC-4f65-9D91-7224C49458BB}"/>
                <c:ext xmlns:c16="http://schemas.microsoft.com/office/drawing/2014/chart" uri="{C3380CC4-5D6E-409C-BE32-E72D297353CC}">
                  <c16:uniqueId val="{00000011-54FC-43DE-8E1B-361D056F5933}"/>
                </c:ext>
              </c:extLst>
            </c:dLbl>
            <c:dLbl>
              <c:idx val="18"/>
              <c:delete val="1"/>
              <c:extLst>
                <c:ext xmlns:c15="http://schemas.microsoft.com/office/drawing/2012/chart" uri="{CE6537A1-D6FC-4f65-9D91-7224C49458BB}"/>
                <c:ext xmlns:c16="http://schemas.microsoft.com/office/drawing/2014/chart" uri="{C3380CC4-5D6E-409C-BE32-E72D297353CC}">
                  <c16:uniqueId val="{00000012-54FC-43DE-8E1B-361D056F5933}"/>
                </c:ext>
              </c:extLst>
            </c:dLbl>
            <c:dLbl>
              <c:idx val="19"/>
              <c:delete val="1"/>
              <c:extLst>
                <c:ext xmlns:c15="http://schemas.microsoft.com/office/drawing/2012/chart" uri="{CE6537A1-D6FC-4f65-9D91-7224C49458BB}"/>
                <c:ext xmlns:c16="http://schemas.microsoft.com/office/drawing/2014/chart" uri="{C3380CC4-5D6E-409C-BE32-E72D297353CC}">
                  <c16:uniqueId val="{00000013-54FC-43DE-8E1B-361D056F5933}"/>
                </c:ext>
              </c:extLst>
            </c:dLbl>
            <c:dLbl>
              <c:idx val="20"/>
              <c:layout>
                <c:manualLayout>
                  <c:x val="-1.8066847335140017E-3"/>
                  <c:y val="-0.236162361623616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4FC-43DE-8E1B-361D056F5933}"/>
                </c:ext>
              </c:extLst>
            </c:dLbl>
            <c:dLbl>
              <c:idx val="21"/>
              <c:delete val="1"/>
              <c:extLst>
                <c:ext xmlns:c15="http://schemas.microsoft.com/office/drawing/2012/chart" uri="{CE6537A1-D6FC-4f65-9D91-7224C49458BB}"/>
                <c:ext xmlns:c16="http://schemas.microsoft.com/office/drawing/2014/chart" uri="{C3380CC4-5D6E-409C-BE32-E72D297353CC}">
                  <c16:uniqueId val="{00000015-54FC-43DE-8E1B-361D056F5933}"/>
                </c:ext>
              </c:extLst>
            </c:dLbl>
            <c:dLbl>
              <c:idx val="22"/>
              <c:delete val="1"/>
              <c:extLst>
                <c:ext xmlns:c15="http://schemas.microsoft.com/office/drawing/2012/chart" uri="{CE6537A1-D6FC-4f65-9D91-7224C49458BB}"/>
                <c:ext xmlns:c16="http://schemas.microsoft.com/office/drawing/2014/chart" uri="{C3380CC4-5D6E-409C-BE32-E72D297353CC}">
                  <c16:uniqueId val="{00000016-54FC-43DE-8E1B-361D056F5933}"/>
                </c:ext>
              </c:extLst>
            </c:dLbl>
            <c:dLbl>
              <c:idx val="23"/>
              <c:delete val="1"/>
              <c:extLst>
                <c:ext xmlns:c15="http://schemas.microsoft.com/office/drawing/2012/chart" uri="{CE6537A1-D6FC-4f65-9D91-7224C49458BB}"/>
                <c:ext xmlns:c16="http://schemas.microsoft.com/office/drawing/2014/chart" uri="{C3380CC4-5D6E-409C-BE32-E72D297353CC}">
                  <c16:uniqueId val="{00000017-54FC-43DE-8E1B-361D056F5933}"/>
                </c:ext>
              </c:extLst>
            </c:dLbl>
            <c:dLbl>
              <c:idx val="24"/>
              <c:layout>
                <c:manualLayout>
                  <c:x val="-1.4453477868112014E-2"/>
                  <c:y val="-0.253382533825338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54FC-43DE-8E1B-361D056F5933}"/>
                </c:ext>
              </c:extLst>
            </c:dLbl>
            <c:dLbl>
              <c:idx val="25"/>
              <c:delete val="1"/>
              <c:extLst>
                <c:ext xmlns:c15="http://schemas.microsoft.com/office/drawing/2012/chart" uri="{CE6537A1-D6FC-4f65-9D91-7224C49458BB}"/>
                <c:ext xmlns:c16="http://schemas.microsoft.com/office/drawing/2014/chart" uri="{C3380CC4-5D6E-409C-BE32-E72D297353CC}">
                  <c16:uniqueId val="{00000019-54FC-43DE-8E1B-361D056F5933}"/>
                </c:ext>
              </c:extLst>
            </c:dLbl>
            <c:dLbl>
              <c:idx val="26"/>
              <c:delete val="1"/>
              <c:extLst>
                <c:ext xmlns:c15="http://schemas.microsoft.com/office/drawing/2012/chart" uri="{CE6537A1-D6FC-4f65-9D91-7224C49458BB}"/>
                <c:ext xmlns:c16="http://schemas.microsoft.com/office/drawing/2014/chart" uri="{C3380CC4-5D6E-409C-BE32-E72D297353CC}">
                  <c16:uniqueId val="{0000001A-54FC-43DE-8E1B-361D056F5933}"/>
                </c:ext>
              </c:extLst>
            </c:dLbl>
            <c:dLbl>
              <c:idx val="27"/>
              <c:delete val="1"/>
              <c:extLst>
                <c:ext xmlns:c15="http://schemas.microsoft.com/office/drawing/2012/chart" uri="{CE6537A1-D6FC-4f65-9D91-7224C49458BB}"/>
                <c:ext xmlns:c16="http://schemas.microsoft.com/office/drawing/2014/chart" uri="{C3380CC4-5D6E-409C-BE32-E72D297353CC}">
                  <c16:uniqueId val="{0000001B-54FC-43DE-8E1B-361D056F5933}"/>
                </c:ext>
              </c:extLst>
            </c:dLbl>
            <c:dLbl>
              <c:idx val="28"/>
              <c:layout>
                <c:manualLayout>
                  <c:x val="-9.0334236675700084E-3"/>
                  <c:y val="-0.302583025830258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54FC-43DE-8E1B-361D056F5933}"/>
                </c:ext>
              </c:extLst>
            </c:dLbl>
            <c:dLbl>
              <c:idx val="29"/>
              <c:delete val="1"/>
              <c:extLst>
                <c:ext xmlns:c15="http://schemas.microsoft.com/office/drawing/2012/chart" uri="{CE6537A1-D6FC-4f65-9D91-7224C49458BB}"/>
                <c:ext xmlns:c16="http://schemas.microsoft.com/office/drawing/2014/chart" uri="{C3380CC4-5D6E-409C-BE32-E72D297353CC}">
                  <c16:uniqueId val="{0000001D-54FC-43DE-8E1B-361D056F5933}"/>
                </c:ext>
              </c:extLst>
            </c:dLbl>
            <c:dLbl>
              <c:idx val="30"/>
              <c:delete val="1"/>
              <c:extLst>
                <c:ext xmlns:c15="http://schemas.microsoft.com/office/drawing/2012/chart" uri="{CE6537A1-D6FC-4f65-9D91-7224C49458BB}"/>
                <c:ext xmlns:c16="http://schemas.microsoft.com/office/drawing/2014/chart" uri="{C3380CC4-5D6E-409C-BE32-E72D297353CC}">
                  <c16:uniqueId val="{0000001E-54FC-43DE-8E1B-361D056F5933}"/>
                </c:ext>
              </c:extLst>
            </c:dLbl>
            <c:dLbl>
              <c:idx val="31"/>
              <c:delete val="1"/>
              <c:extLst>
                <c:ext xmlns:c15="http://schemas.microsoft.com/office/drawing/2012/chart" uri="{CE6537A1-D6FC-4f65-9D91-7224C49458BB}"/>
                <c:ext xmlns:c16="http://schemas.microsoft.com/office/drawing/2014/chart" uri="{C3380CC4-5D6E-409C-BE32-E72D297353CC}">
                  <c16:uniqueId val="{0000001F-54FC-43DE-8E1B-361D056F5933}"/>
                </c:ext>
              </c:extLst>
            </c:dLbl>
            <c:dLbl>
              <c:idx val="32"/>
              <c:layout>
                <c:manualLayout>
                  <c:x val="-5.5763786640492356E-3"/>
                  <c:y val="-0.34116284355565646"/>
                </c:manualLayout>
              </c:layout>
              <c:spPr>
                <a:noFill/>
                <a:ln>
                  <a:noFill/>
                </a:ln>
                <a:effectLst/>
              </c:spPr>
              <c:txPr>
                <a:bodyPr wrap="square" lIns="38100" tIns="19050" rIns="38100" bIns="19050" anchor="ctr">
                  <a:noAutofit/>
                </a:bodyPr>
                <a:lstStyle/>
                <a:p>
                  <a:pPr>
                    <a:defRPr sz="1200" b="1"/>
                  </a:pPr>
                  <a:endParaRPr lang="en-US"/>
                </a:p>
              </c:txPr>
              <c:showLegendKey val="0"/>
              <c:showVal val="1"/>
              <c:showCatName val="0"/>
              <c:showSerName val="0"/>
              <c:showPercent val="0"/>
              <c:showBubbleSize val="0"/>
              <c:extLst>
                <c:ext xmlns:c15="http://schemas.microsoft.com/office/drawing/2012/chart" uri="{CE6537A1-D6FC-4f65-9D91-7224C49458BB}">
                  <c15:layout>
                    <c:manualLayout>
                      <c:w val="8.4195100612423454E-2"/>
                      <c:h val="4.14257535527E-2"/>
                    </c:manualLayout>
                  </c15:layout>
                </c:ext>
                <c:ext xmlns:c16="http://schemas.microsoft.com/office/drawing/2014/chart" uri="{C3380CC4-5D6E-409C-BE32-E72D297353CC}">
                  <c16:uniqueId val="{00000020-54FC-43DE-8E1B-361D056F5933}"/>
                </c:ext>
              </c:extLst>
            </c:dLbl>
            <c:dLbl>
              <c:idx val="33"/>
              <c:delete val="1"/>
              <c:extLst>
                <c:ext xmlns:c15="http://schemas.microsoft.com/office/drawing/2012/chart" uri="{CE6537A1-D6FC-4f65-9D91-7224C49458BB}"/>
                <c:ext xmlns:c16="http://schemas.microsoft.com/office/drawing/2014/chart" uri="{C3380CC4-5D6E-409C-BE32-E72D297353CC}">
                  <c16:uniqueId val="{00000021-54FC-43DE-8E1B-361D056F5933}"/>
                </c:ext>
              </c:extLst>
            </c:dLbl>
            <c:dLbl>
              <c:idx val="34"/>
              <c:delete val="1"/>
              <c:extLst>
                <c:ext xmlns:c15="http://schemas.microsoft.com/office/drawing/2012/chart" uri="{CE6537A1-D6FC-4f65-9D91-7224C49458BB}"/>
                <c:ext xmlns:c16="http://schemas.microsoft.com/office/drawing/2014/chart" uri="{C3380CC4-5D6E-409C-BE32-E72D297353CC}">
                  <c16:uniqueId val="{00000022-54FC-43DE-8E1B-361D056F5933}"/>
                </c:ext>
              </c:extLst>
            </c:dLbl>
            <c:dLbl>
              <c:idx val="35"/>
              <c:delete val="1"/>
              <c:extLst>
                <c:ext xmlns:c15="http://schemas.microsoft.com/office/drawing/2012/chart" uri="{CE6537A1-D6FC-4f65-9D91-7224C49458BB}"/>
                <c:ext xmlns:c16="http://schemas.microsoft.com/office/drawing/2014/chart" uri="{C3380CC4-5D6E-409C-BE32-E72D297353CC}">
                  <c16:uniqueId val="{00000023-54FC-43DE-8E1B-361D056F5933}"/>
                </c:ext>
              </c:extLst>
            </c:dLbl>
            <c:dLbl>
              <c:idx val="36"/>
              <c:layout>
                <c:manualLayout>
                  <c:x val="-2.1680216802168022E-2"/>
                  <c:y val="-0.36408364083640837"/>
                </c:manualLayout>
              </c:layout>
              <c:tx>
                <c:rich>
                  <a:bodyPr/>
                  <a:lstStyle/>
                  <a:p>
                    <a:fld id="{6ED76422-B04B-4682-BE18-1ACC486E9313}"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4-54FC-43DE-8E1B-361D056F5933}"/>
                </c:ext>
              </c:extLst>
            </c:dLbl>
            <c:spPr>
              <a:noFill/>
              <a:ln>
                <a:noFill/>
              </a:ln>
              <a:effectLst/>
            </c:spPr>
            <c:txPr>
              <a:bodyPr wrap="square" lIns="38100" tIns="19050" rIns="38100" bIns="19050" anchor="ctr">
                <a:spAutoFit/>
              </a:bodyPr>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'Inc Alloc'!$AR$5:$AR$41</c:f>
              <c:strCache>
                <c:ptCount val="37"/>
                <c:pt idx="0">
                  <c:v>FY 86-87 </c:v>
                </c:pt>
                <c:pt idx="1">
                  <c:v>FY 87-88 </c:v>
                </c:pt>
                <c:pt idx="2">
                  <c:v>FY 88-89 </c:v>
                </c:pt>
                <c:pt idx="3">
                  <c:v>FY 89-90 </c:v>
                </c:pt>
                <c:pt idx="4">
                  <c:v>FY 90-91 </c:v>
                </c:pt>
                <c:pt idx="5">
                  <c:v>FY 91-92 </c:v>
                </c:pt>
                <c:pt idx="6">
                  <c:v>FY 92-93 </c:v>
                </c:pt>
                <c:pt idx="7">
                  <c:v>FY 93-94 </c:v>
                </c:pt>
                <c:pt idx="8">
                  <c:v>FY 94-95 </c:v>
                </c:pt>
                <c:pt idx="9">
                  <c:v>FY 95-96 </c:v>
                </c:pt>
                <c:pt idx="10">
                  <c:v>FY 96-97 </c:v>
                </c:pt>
                <c:pt idx="11">
                  <c:v>FY 97-98 </c:v>
                </c:pt>
                <c:pt idx="12">
                  <c:v>FY 98-99 </c:v>
                </c:pt>
                <c:pt idx="13">
                  <c:v>FY 99-00 </c:v>
                </c:pt>
                <c:pt idx="14">
                  <c:v>FY 00-01 </c:v>
                </c:pt>
                <c:pt idx="15">
                  <c:v>FY 01-02 </c:v>
                </c:pt>
                <c:pt idx="16">
                  <c:v>FY 02-03 </c:v>
                </c:pt>
                <c:pt idx="17">
                  <c:v>FY 03-04 </c:v>
                </c:pt>
                <c:pt idx="18">
                  <c:v>FY 04-05 </c:v>
                </c:pt>
                <c:pt idx="19">
                  <c:v>FY 05-06 </c:v>
                </c:pt>
                <c:pt idx="20">
                  <c:v>FY 06-07 </c:v>
                </c:pt>
                <c:pt idx="21">
                  <c:v>FY 07-08 </c:v>
                </c:pt>
                <c:pt idx="22">
                  <c:v>FY 08-09 </c:v>
                </c:pt>
                <c:pt idx="23">
                  <c:v>FY 09-10 </c:v>
                </c:pt>
                <c:pt idx="24">
                  <c:v>FY 10-11 </c:v>
                </c:pt>
                <c:pt idx="25">
                  <c:v>FY 11-12</c:v>
                </c:pt>
                <c:pt idx="26">
                  <c:v>FY 12-13</c:v>
                </c:pt>
                <c:pt idx="27">
                  <c:v>FY 13-14</c:v>
                </c:pt>
                <c:pt idx="28">
                  <c:v>FY 14-15</c:v>
                </c:pt>
                <c:pt idx="29">
                  <c:v>FY 15-16</c:v>
                </c:pt>
                <c:pt idx="30">
                  <c:v>FY 16-17</c:v>
                </c:pt>
                <c:pt idx="31">
                  <c:v>FY 17-18</c:v>
                </c:pt>
                <c:pt idx="32">
                  <c:v>FY 18-19</c:v>
                </c:pt>
                <c:pt idx="33">
                  <c:v>FY 19-20</c:v>
                </c:pt>
                <c:pt idx="34">
                  <c:v>FY 20-21</c:v>
                </c:pt>
                <c:pt idx="35">
                  <c:v>FY 21-22</c:v>
                </c:pt>
                <c:pt idx="36">
                  <c:v>FY 22-23</c:v>
                </c:pt>
              </c:strCache>
            </c:strRef>
          </c:cat>
          <c:val>
            <c:numRef>
              <c:f>'Inc Alloc'!$AV$5:$AV$41</c:f>
              <c:numCache>
                <c:formatCode>#,##0</c:formatCode>
                <c:ptCount val="37"/>
                <c:pt idx="0">
                  <c:v>31.211779200000002</c:v>
                </c:pt>
                <c:pt idx="1">
                  <c:v>86.1806014</c:v>
                </c:pt>
                <c:pt idx="2">
                  <c:v>146.07720499999999</c:v>
                </c:pt>
                <c:pt idx="3">
                  <c:v>206.50244791999998</c:v>
                </c:pt>
                <c:pt idx="4">
                  <c:v>276.71548330999997</c:v>
                </c:pt>
                <c:pt idx="5">
                  <c:v>354.24311699999998</c:v>
                </c:pt>
                <c:pt idx="6">
                  <c:v>436.20089393000001</c:v>
                </c:pt>
                <c:pt idx="7">
                  <c:v>524.19920106999996</c:v>
                </c:pt>
                <c:pt idx="8">
                  <c:v>591.79829305999999</c:v>
                </c:pt>
                <c:pt idx="9">
                  <c:v>661.03229587999999</c:v>
                </c:pt>
                <c:pt idx="10">
                  <c:v>741.69645461999994</c:v>
                </c:pt>
                <c:pt idx="11">
                  <c:v>834.67375779999998</c:v>
                </c:pt>
                <c:pt idx="12">
                  <c:v>929.45634099999995</c:v>
                </c:pt>
                <c:pt idx="13">
                  <c:v>1007.92831325</c:v>
                </c:pt>
                <c:pt idx="14">
                  <c:v>1093.65753793</c:v>
                </c:pt>
                <c:pt idx="15">
                  <c:v>1155.5585756099999</c:v>
                </c:pt>
                <c:pt idx="16">
                  <c:v>1223.7898838199999</c:v>
                </c:pt>
                <c:pt idx="17">
                  <c:v>1311.9601791</c:v>
                </c:pt>
                <c:pt idx="18">
                  <c:v>1404.81933445</c:v>
                </c:pt>
                <c:pt idx="19">
                  <c:v>1488.5514468700001</c:v>
                </c:pt>
                <c:pt idx="20">
                  <c:v>1575.9031587900001</c:v>
                </c:pt>
                <c:pt idx="21">
                  <c:v>1665.0329730300002</c:v>
                </c:pt>
                <c:pt idx="22">
                  <c:v>1756.2581116200001</c:v>
                </c:pt>
                <c:pt idx="23">
                  <c:v>1821.1513639700001</c:v>
                </c:pt>
                <c:pt idx="24">
                  <c:v>1884.7696116100001</c:v>
                </c:pt>
                <c:pt idx="25">
                  <c:v>1952.3428240200001</c:v>
                </c:pt>
                <c:pt idx="26">
                  <c:v>2060.0389637600001</c:v>
                </c:pt>
                <c:pt idx="27">
                  <c:v>2173.38962494</c:v>
                </c:pt>
                <c:pt idx="28">
                  <c:v>2229.6195279099998</c:v>
                </c:pt>
                <c:pt idx="29">
                  <c:v>2311.3721146599996</c:v>
                </c:pt>
                <c:pt idx="30">
                  <c:v>2368.5858203099997</c:v>
                </c:pt>
                <c:pt idx="31">
                  <c:v>2435.4117998899997</c:v>
                </c:pt>
                <c:pt idx="32">
                  <c:v>2504.4559687399997</c:v>
                </c:pt>
                <c:pt idx="33">
                  <c:v>2552.3576187599997</c:v>
                </c:pt>
                <c:pt idx="34" formatCode="_(* #,##0_);_(* \(#,##0\);_(* &quot;-&quot;??_);_(@_)">
                  <c:v>2698.8565191299995</c:v>
                </c:pt>
                <c:pt idx="35" formatCode="_(* #,##0_);_(* \(#,##0\);_(* &quot;-&quot;??_);_(@_)">
                  <c:v>2763.4280100899996</c:v>
                </c:pt>
                <c:pt idx="36" formatCode="_(* #,##0_);_(* \(#,##0\);_(* &quot;-&quot;??_);_(@_)">
                  <c:v>2806.4599445999997</c:v>
                </c:pt>
              </c:numCache>
            </c:numRef>
          </c:val>
          <c:extLst>
            <c:ext xmlns:c16="http://schemas.microsoft.com/office/drawing/2014/chart" uri="{C3380CC4-5D6E-409C-BE32-E72D297353CC}">
              <c16:uniqueId val="{00000025-54FC-43DE-8E1B-361D056F5933}"/>
            </c:ext>
          </c:extLst>
        </c:ser>
        <c:ser>
          <c:idx val="1"/>
          <c:order val="1"/>
          <c:tx>
            <c:strRef>
              <c:f>'Inc Alloc'!$AX$4</c:f>
              <c:strCache>
                <c:ptCount val="1"/>
                <c:pt idx="0">
                  <c:v>Cumulative to Support Fund</c:v>
                </c:pt>
              </c:strCache>
            </c:strRef>
          </c:tx>
          <c:spPr>
            <a:solidFill>
              <a:schemeClr val="accent6">
                <a:lumMod val="40000"/>
                <a:lumOff val="60000"/>
              </a:schemeClr>
            </a:solidFill>
            <a:ln w="25400">
              <a:noFill/>
            </a:ln>
          </c:spPr>
          <c:dLbls>
            <c:dLbl>
              <c:idx val="0"/>
              <c:layout>
                <c:manualLayout>
                  <c:x val="1.4453477868111998E-2"/>
                  <c:y val="-7.3800738007380072E-3"/>
                </c:manualLayout>
              </c:layout>
              <c:spPr>
                <a:noFill/>
                <a:ln>
                  <a:noFill/>
                </a:ln>
                <a:effectLst/>
              </c:spPr>
              <c:txPr>
                <a:bodyPr wrap="square" lIns="38100" tIns="19050" rIns="38100" bIns="19050" anchor="ctr">
                  <a:spAutoFit/>
                </a:bodyPr>
                <a:lstStyle/>
                <a:p>
                  <a:pPr>
                    <a:defRPr sz="1200"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54FC-43DE-8E1B-361D056F5933}"/>
                </c:ext>
              </c:extLst>
            </c:dLbl>
            <c:dLbl>
              <c:idx val="1"/>
              <c:delete val="1"/>
              <c:extLst>
                <c:ext xmlns:c15="http://schemas.microsoft.com/office/drawing/2012/chart" uri="{CE6537A1-D6FC-4f65-9D91-7224C49458BB}"/>
                <c:ext xmlns:c16="http://schemas.microsoft.com/office/drawing/2014/chart" uri="{C3380CC4-5D6E-409C-BE32-E72D297353CC}">
                  <c16:uniqueId val="{00000027-54FC-43DE-8E1B-361D056F5933}"/>
                </c:ext>
              </c:extLst>
            </c:dLbl>
            <c:dLbl>
              <c:idx val="2"/>
              <c:delete val="1"/>
              <c:extLst>
                <c:ext xmlns:c15="http://schemas.microsoft.com/office/drawing/2012/chart" uri="{CE6537A1-D6FC-4f65-9D91-7224C49458BB}"/>
                <c:ext xmlns:c16="http://schemas.microsoft.com/office/drawing/2014/chart" uri="{C3380CC4-5D6E-409C-BE32-E72D297353CC}">
                  <c16:uniqueId val="{00000028-54FC-43DE-8E1B-361D056F5933}"/>
                </c:ext>
              </c:extLst>
            </c:dLbl>
            <c:dLbl>
              <c:idx val="3"/>
              <c:delete val="1"/>
              <c:extLst>
                <c:ext xmlns:c15="http://schemas.microsoft.com/office/drawing/2012/chart" uri="{CE6537A1-D6FC-4f65-9D91-7224C49458BB}"/>
                <c:ext xmlns:c16="http://schemas.microsoft.com/office/drawing/2014/chart" uri="{C3380CC4-5D6E-409C-BE32-E72D297353CC}">
                  <c16:uniqueId val="{00000029-54FC-43DE-8E1B-361D056F5933}"/>
                </c:ext>
              </c:extLst>
            </c:dLbl>
            <c:dLbl>
              <c:idx val="4"/>
              <c:layout>
                <c:manualLayout>
                  <c:x val="7.2267389340560069E-3"/>
                  <c:y val="-4.4280442804428041E-2"/>
                </c:manualLayout>
              </c:layout>
              <c:spPr>
                <a:noFill/>
                <a:ln>
                  <a:noFill/>
                </a:ln>
                <a:effectLst/>
              </c:spPr>
              <c:txPr>
                <a:bodyPr wrap="square" lIns="38100" tIns="19050" rIns="38100" bIns="19050" anchor="ctr">
                  <a:spAutoFit/>
                </a:bodyPr>
                <a:lstStyle/>
                <a:p>
                  <a:pPr>
                    <a:defRPr sz="1200"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54FC-43DE-8E1B-361D056F5933}"/>
                </c:ext>
              </c:extLst>
            </c:dLbl>
            <c:dLbl>
              <c:idx val="5"/>
              <c:delete val="1"/>
              <c:extLst>
                <c:ext xmlns:c15="http://schemas.microsoft.com/office/drawing/2012/chart" uri="{CE6537A1-D6FC-4f65-9D91-7224C49458BB}"/>
                <c:ext xmlns:c16="http://schemas.microsoft.com/office/drawing/2014/chart" uri="{C3380CC4-5D6E-409C-BE32-E72D297353CC}">
                  <c16:uniqueId val="{0000002B-54FC-43DE-8E1B-361D056F5933}"/>
                </c:ext>
              </c:extLst>
            </c:dLbl>
            <c:dLbl>
              <c:idx val="6"/>
              <c:delete val="1"/>
              <c:extLst>
                <c:ext xmlns:c15="http://schemas.microsoft.com/office/drawing/2012/chart" uri="{CE6537A1-D6FC-4f65-9D91-7224C49458BB}"/>
                <c:ext xmlns:c16="http://schemas.microsoft.com/office/drawing/2014/chart" uri="{C3380CC4-5D6E-409C-BE32-E72D297353CC}">
                  <c16:uniqueId val="{0000002C-54FC-43DE-8E1B-361D056F5933}"/>
                </c:ext>
              </c:extLst>
            </c:dLbl>
            <c:dLbl>
              <c:idx val="7"/>
              <c:delete val="1"/>
              <c:extLst>
                <c:ext xmlns:c15="http://schemas.microsoft.com/office/drawing/2012/chart" uri="{CE6537A1-D6FC-4f65-9D91-7224C49458BB}"/>
                <c:ext xmlns:c16="http://schemas.microsoft.com/office/drawing/2014/chart" uri="{C3380CC4-5D6E-409C-BE32-E72D297353CC}">
                  <c16:uniqueId val="{0000002D-54FC-43DE-8E1B-361D056F5933}"/>
                </c:ext>
              </c:extLst>
            </c:dLbl>
            <c:dLbl>
              <c:idx val="8"/>
              <c:layout>
                <c:manualLayout>
                  <c:x val="1.8066847335140017E-3"/>
                  <c:y val="-8.1180811808118078E-2"/>
                </c:manualLayout>
              </c:layout>
              <c:spPr>
                <a:noFill/>
                <a:ln>
                  <a:noFill/>
                </a:ln>
                <a:effectLst/>
              </c:spPr>
              <c:txPr>
                <a:bodyPr wrap="square" lIns="38100" tIns="19050" rIns="38100" bIns="19050" anchor="ctr">
                  <a:spAutoFit/>
                </a:bodyPr>
                <a:lstStyle/>
                <a:p>
                  <a:pPr>
                    <a:defRPr sz="1200"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54FC-43DE-8E1B-361D056F5933}"/>
                </c:ext>
              </c:extLst>
            </c:dLbl>
            <c:dLbl>
              <c:idx val="9"/>
              <c:delete val="1"/>
              <c:extLst>
                <c:ext xmlns:c15="http://schemas.microsoft.com/office/drawing/2012/chart" uri="{CE6537A1-D6FC-4f65-9D91-7224C49458BB}"/>
                <c:ext xmlns:c16="http://schemas.microsoft.com/office/drawing/2014/chart" uri="{C3380CC4-5D6E-409C-BE32-E72D297353CC}">
                  <c16:uniqueId val="{0000002F-54FC-43DE-8E1B-361D056F5933}"/>
                </c:ext>
              </c:extLst>
            </c:dLbl>
            <c:dLbl>
              <c:idx val="10"/>
              <c:delete val="1"/>
              <c:extLst>
                <c:ext xmlns:c15="http://schemas.microsoft.com/office/drawing/2012/chart" uri="{CE6537A1-D6FC-4f65-9D91-7224C49458BB}"/>
                <c:ext xmlns:c16="http://schemas.microsoft.com/office/drawing/2014/chart" uri="{C3380CC4-5D6E-409C-BE32-E72D297353CC}">
                  <c16:uniqueId val="{00000030-54FC-43DE-8E1B-361D056F5933}"/>
                </c:ext>
              </c:extLst>
            </c:dLbl>
            <c:dLbl>
              <c:idx val="11"/>
              <c:delete val="1"/>
              <c:extLst>
                <c:ext xmlns:c15="http://schemas.microsoft.com/office/drawing/2012/chart" uri="{CE6537A1-D6FC-4f65-9D91-7224C49458BB}"/>
                <c:ext xmlns:c16="http://schemas.microsoft.com/office/drawing/2014/chart" uri="{C3380CC4-5D6E-409C-BE32-E72D297353CC}">
                  <c16:uniqueId val="{00000031-54FC-43DE-8E1B-361D056F5933}"/>
                </c:ext>
              </c:extLst>
            </c:dLbl>
            <c:dLbl>
              <c:idx val="12"/>
              <c:layout>
                <c:manualLayout>
                  <c:x val="3.6133694670280035E-3"/>
                  <c:y val="-0.11562115621156202"/>
                </c:manualLayout>
              </c:layout>
              <c:spPr>
                <a:noFill/>
                <a:ln>
                  <a:noFill/>
                </a:ln>
                <a:effectLst/>
              </c:spPr>
              <c:txPr>
                <a:bodyPr wrap="square" lIns="38100" tIns="19050" rIns="38100" bIns="19050" anchor="ctr">
                  <a:spAutoFit/>
                </a:bodyPr>
                <a:lstStyle/>
                <a:p>
                  <a:pPr>
                    <a:defRPr sz="1200"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54FC-43DE-8E1B-361D056F5933}"/>
                </c:ext>
              </c:extLst>
            </c:dLbl>
            <c:dLbl>
              <c:idx val="13"/>
              <c:delete val="1"/>
              <c:extLst>
                <c:ext xmlns:c15="http://schemas.microsoft.com/office/drawing/2012/chart" uri="{CE6537A1-D6FC-4f65-9D91-7224C49458BB}"/>
                <c:ext xmlns:c16="http://schemas.microsoft.com/office/drawing/2014/chart" uri="{C3380CC4-5D6E-409C-BE32-E72D297353CC}">
                  <c16:uniqueId val="{00000033-54FC-43DE-8E1B-361D056F5933}"/>
                </c:ext>
              </c:extLst>
            </c:dLbl>
            <c:dLbl>
              <c:idx val="14"/>
              <c:delete val="1"/>
              <c:extLst>
                <c:ext xmlns:c15="http://schemas.microsoft.com/office/drawing/2012/chart" uri="{CE6537A1-D6FC-4f65-9D91-7224C49458BB}"/>
                <c:ext xmlns:c16="http://schemas.microsoft.com/office/drawing/2014/chart" uri="{C3380CC4-5D6E-409C-BE32-E72D297353CC}">
                  <c16:uniqueId val="{00000034-54FC-43DE-8E1B-361D056F5933}"/>
                </c:ext>
              </c:extLst>
            </c:dLbl>
            <c:dLbl>
              <c:idx val="15"/>
              <c:delete val="1"/>
              <c:extLst>
                <c:ext xmlns:c15="http://schemas.microsoft.com/office/drawing/2012/chart" uri="{CE6537A1-D6FC-4f65-9D91-7224C49458BB}"/>
                <c:ext xmlns:c16="http://schemas.microsoft.com/office/drawing/2014/chart" uri="{C3380CC4-5D6E-409C-BE32-E72D297353CC}">
                  <c16:uniqueId val="{00000035-54FC-43DE-8E1B-361D056F5933}"/>
                </c:ext>
              </c:extLst>
            </c:dLbl>
            <c:dLbl>
              <c:idx val="16"/>
              <c:layout>
                <c:manualLayout>
                  <c:x val="1.8066847335139356E-3"/>
                  <c:y val="-0.14514145141451415"/>
                </c:manualLayout>
              </c:layout>
              <c:spPr>
                <a:noFill/>
                <a:ln>
                  <a:noFill/>
                </a:ln>
                <a:effectLst/>
              </c:spPr>
              <c:txPr>
                <a:bodyPr wrap="square" lIns="38100" tIns="19050" rIns="38100" bIns="19050" anchor="ctr">
                  <a:spAutoFit/>
                </a:bodyPr>
                <a:lstStyle/>
                <a:p>
                  <a:pPr>
                    <a:defRPr sz="1200"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54FC-43DE-8E1B-361D056F5933}"/>
                </c:ext>
              </c:extLst>
            </c:dLbl>
            <c:dLbl>
              <c:idx val="17"/>
              <c:delete val="1"/>
              <c:extLst>
                <c:ext xmlns:c15="http://schemas.microsoft.com/office/drawing/2012/chart" uri="{CE6537A1-D6FC-4f65-9D91-7224C49458BB}"/>
                <c:ext xmlns:c16="http://schemas.microsoft.com/office/drawing/2014/chart" uri="{C3380CC4-5D6E-409C-BE32-E72D297353CC}">
                  <c16:uniqueId val="{00000037-54FC-43DE-8E1B-361D056F5933}"/>
                </c:ext>
              </c:extLst>
            </c:dLbl>
            <c:dLbl>
              <c:idx val="18"/>
              <c:delete val="1"/>
              <c:extLst>
                <c:ext xmlns:c15="http://schemas.microsoft.com/office/drawing/2012/chart" uri="{CE6537A1-D6FC-4f65-9D91-7224C49458BB}"/>
                <c:ext xmlns:c16="http://schemas.microsoft.com/office/drawing/2014/chart" uri="{C3380CC4-5D6E-409C-BE32-E72D297353CC}">
                  <c16:uniqueId val="{00000038-54FC-43DE-8E1B-361D056F5933}"/>
                </c:ext>
              </c:extLst>
            </c:dLbl>
            <c:dLbl>
              <c:idx val="19"/>
              <c:delete val="1"/>
              <c:extLst>
                <c:ext xmlns:c15="http://schemas.microsoft.com/office/drawing/2012/chart" uri="{CE6537A1-D6FC-4f65-9D91-7224C49458BB}"/>
                <c:ext xmlns:c16="http://schemas.microsoft.com/office/drawing/2014/chart" uri="{C3380CC4-5D6E-409C-BE32-E72D297353CC}">
                  <c16:uniqueId val="{00000039-54FC-43DE-8E1B-361D056F5933}"/>
                </c:ext>
              </c:extLst>
            </c:dLbl>
            <c:dLbl>
              <c:idx val="20"/>
              <c:layout>
                <c:manualLayout>
                  <c:x val="3.6133694670280035E-3"/>
                  <c:y val="-0.18204182041820419"/>
                </c:manualLayout>
              </c:layout>
              <c:spPr>
                <a:noFill/>
                <a:ln>
                  <a:noFill/>
                </a:ln>
                <a:effectLst/>
              </c:spPr>
              <c:txPr>
                <a:bodyPr wrap="square" lIns="38100" tIns="19050" rIns="38100" bIns="19050" anchor="ctr">
                  <a:spAutoFit/>
                </a:bodyPr>
                <a:lstStyle/>
                <a:p>
                  <a:pPr>
                    <a:defRPr sz="1200"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A-54FC-43DE-8E1B-361D056F5933}"/>
                </c:ext>
              </c:extLst>
            </c:dLbl>
            <c:dLbl>
              <c:idx val="21"/>
              <c:delete val="1"/>
              <c:extLst>
                <c:ext xmlns:c15="http://schemas.microsoft.com/office/drawing/2012/chart" uri="{CE6537A1-D6FC-4f65-9D91-7224C49458BB}"/>
                <c:ext xmlns:c16="http://schemas.microsoft.com/office/drawing/2014/chart" uri="{C3380CC4-5D6E-409C-BE32-E72D297353CC}">
                  <c16:uniqueId val="{0000003B-54FC-43DE-8E1B-361D056F5933}"/>
                </c:ext>
              </c:extLst>
            </c:dLbl>
            <c:dLbl>
              <c:idx val="22"/>
              <c:delete val="1"/>
              <c:extLst>
                <c:ext xmlns:c15="http://schemas.microsoft.com/office/drawing/2012/chart" uri="{CE6537A1-D6FC-4f65-9D91-7224C49458BB}"/>
                <c:ext xmlns:c16="http://schemas.microsoft.com/office/drawing/2014/chart" uri="{C3380CC4-5D6E-409C-BE32-E72D297353CC}">
                  <c16:uniqueId val="{0000003C-54FC-43DE-8E1B-361D056F5933}"/>
                </c:ext>
              </c:extLst>
            </c:dLbl>
            <c:dLbl>
              <c:idx val="23"/>
              <c:delete val="1"/>
              <c:extLst>
                <c:ext xmlns:c15="http://schemas.microsoft.com/office/drawing/2012/chart" uri="{CE6537A1-D6FC-4f65-9D91-7224C49458BB}"/>
                <c:ext xmlns:c16="http://schemas.microsoft.com/office/drawing/2014/chart" uri="{C3380CC4-5D6E-409C-BE32-E72D297353CC}">
                  <c16:uniqueId val="{0000003D-54FC-43DE-8E1B-361D056F5933}"/>
                </c:ext>
              </c:extLst>
            </c:dLbl>
            <c:dLbl>
              <c:idx val="24"/>
              <c:layout>
                <c:manualLayout>
                  <c:x val="-5.4200542005420054E-3"/>
                  <c:y val="-0.19926199261992619"/>
                </c:manualLayout>
              </c:layout>
              <c:spPr>
                <a:noFill/>
                <a:ln>
                  <a:noFill/>
                </a:ln>
                <a:effectLst/>
              </c:spPr>
              <c:txPr>
                <a:bodyPr wrap="square" lIns="38100" tIns="19050" rIns="38100" bIns="19050" anchor="ctr">
                  <a:spAutoFit/>
                </a:bodyPr>
                <a:lstStyle/>
                <a:p>
                  <a:pPr>
                    <a:defRPr sz="1200"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E-54FC-43DE-8E1B-361D056F5933}"/>
                </c:ext>
              </c:extLst>
            </c:dLbl>
            <c:dLbl>
              <c:idx val="25"/>
              <c:delete val="1"/>
              <c:extLst>
                <c:ext xmlns:c15="http://schemas.microsoft.com/office/drawing/2012/chart" uri="{CE6537A1-D6FC-4f65-9D91-7224C49458BB}"/>
                <c:ext xmlns:c16="http://schemas.microsoft.com/office/drawing/2014/chart" uri="{C3380CC4-5D6E-409C-BE32-E72D297353CC}">
                  <c16:uniqueId val="{0000003F-54FC-43DE-8E1B-361D056F5933}"/>
                </c:ext>
              </c:extLst>
            </c:dLbl>
            <c:dLbl>
              <c:idx val="26"/>
              <c:delete val="1"/>
              <c:extLst>
                <c:ext xmlns:c15="http://schemas.microsoft.com/office/drawing/2012/chart" uri="{CE6537A1-D6FC-4f65-9D91-7224C49458BB}"/>
                <c:ext xmlns:c16="http://schemas.microsoft.com/office/drawing/2014/chart" uri="{C3380CC4-5D6E-409C-BE32-E72D297353CC}">
                  <c16:uniqueId val="{00000040-54FC-43DE-8E1B-361D056F5933}"/>
                </c:ext>
              </c:extLst>
            </c:dLbl>
            <c:dLbl>
              <c:idx val="27"/>
              <c:delete val="1"/>
              <c:extLst>
                <c:ext xmlns:c15="http://schemas.microsoft.com/office/drawing/2012/chart" uri="{CE6537A1-D6FC-4f65-9D91-7224C49458BB}"/>
                <c:ext xmlns:c16="http://schemas.microsoft.com/office/drawing/2014/chart" uri="{C3380CC4-5D6E-409C-BE32-E72D297353CC}">
                  <c16:uniqueId val="{00000041-54FC-43DE-8E1B-361D056F5933}"/>
                </c:ext>
              </c:extLst>
            </c:dLbl>
            <c:dLbl>
              <c:idx val="28"/>
              <c:layout>
                <c:manualLayout>
                  <c:x val="0"/>
                  <c:y val="-0.22632226322263221"/>
                </c:manualLayout>
              </c:layout>
              <c:spPr>
                <a:noFill/>
                <a:ln>
                  <a:noFill/>
                </a:ln>
                <a:effectLst/>
              </c:spPr>
              <c:txPr>
                <a:bodyPr wrap="square" lIns="38100" tIns="19050" rIns="38100" bIns="19050" anchor="ctr">
                  <a:spAutoFit/>
                </a:bodyPr>
                <a:lstStyle/>
                <a:p>
                  <a:pPr>
                    <a:defRPr sz="1200"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2-54FC-43DE-8E1B-361D056F5933}"/>
                </c:ext>
              </c:extLst>
            </c:dLbl>
            <c:dLbl>
              <c:idx val="29"/>
              <c:delete val="1"/>
              <c:extLst>
                <c:ext xmlns:c15="http://schemas.microsoft.com/office/drawing/2012/chart" uri="{CE6537A1-D6FC-4f65-9D91-7224C49458BB}"/>
                <c:ext xmlns:c16="http://schemas.microsoft.com/office/drawing/2014/chart" uri="{C3380CC4-5D6E-409C-BE32-E72D297353CC}">
                  <c16:uniqueId val="{00000043-54FC-43DE-8E1B-361D056F5933}"/>
                </c:ext>
              </c:extLst>
            </c:dLbl>
            <c:dLbl>
              <c:idx val="30"/>
              <c:delete val="1"/>
              <c:extLst>
                <c:ext xmlns:c15="http://schemas.microsoft.com/office/drawing/2012/chart" uri="{CE6537A1-D6FC-4f65-9D91-7224C49458BB}"/>
                <c:ext xmlns:c16="http://schemas.microsoft.com/office/drawing/2014/chart" uri="{C3380CC4-5D6E-409C-BE32-E72D297353CC}">
                  <c16:uniqueId val="{00000044-54FC-43DE-8E1B-361D056F5933}"/>
                </c:ext>
              </c:extLst>
            </c:dLbl>
            <c:dLbl>
              <c:idx val="31"/>
              <c:delete val="1"/>
              <c:extLst>
                <c:ext xmlns:c15="http://schemas.microsoft.com/office/drawing/2012/chart" uri="{CE6537A1-D6FC-4f65-9D91-7224C49458BB}"/>
                <c:ext xmlns:c16="http://schemas.microsoft.com/office/drawing/2014/chart" uri="{C3380CC4-5D6E-409C-BE32-E72D297353CC}">
                  <c16:uniqueId val="{00000045-54FC-43DE-8E1B-361D056F5933}"/>
                </c:ext>
              </c:extLst>
            </c:dLbl>
            <c:dLbl>
              <c:idx val="32"/>
              <c:layout>
                <c:manualLayout>
                  <c:x val="-9.0334236675700084E-3"/>
                  <c:y val="-0.24108241082410825"/>
                </c:manualLayout>
              </c:layout>
              <c:spPr>
                <a:noFill/>
                <a:ln>
                  <a:noFill/>
                </a:ln>
                <a:effectLst/>
              </c:spPr>
              <c:txPr>
                <a:bodyPr wrap="square" lIns="38100" tIns="19050" rIns="38100" bIns="19050" anchor="ctr">
                  <a:spAutoFit/>
                </a:bodyPr>
                <a:lstStyle/>
                <a:p>
                  <a:pPr>
                    <a:defRPr sz="1200"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6-54FC-43DE-8E1B-361D056F5933}"/>
                </c:ext>
              </c:extLst>
            </c:dLbl>
            <c:dLbl>
              <c:idx val="33"/>
              <c:delete val="1"/>
              <c:extLst>
                <c:ext xmlns:c15="http://schemas.microsoft.com/office/drawing/2012/chart" uri="{CE6537A1-D6FC-4f65-9D91-7224C49458BB}"/>
                <c:ext xmlns:c16="http://schemas.microsoft.com/office/drawing/2014/chart" uri="{C3380CC4-5D6E-409C-BE32-E72D297353CC}">
                  <c16:uniqueId val="{00000047-54FC-43DE-8E1B-361D056F5933}"/>
                </c:ext>
              </c:extLst>
            </c:dLbl>
            <c:dLbl>
              <c:idx val="34"/>
              <c:delete val="1"/>
              <c:extLst>
                <c:ext xmlns:c15="http://schemas.microsoft.com/office/drawing/2012/chart" uri="{CE6537A1-D6FC-4f65-9D91-7224C49458BB}"/>
                <c:ext xmlns:c16="http://schemas.microsoft.com/office/drawing/2014/chart" uri="{C3380CC4-5D6E-409C-BE32-E72D297353CC}">
                  <c16:uniqueId val="{00000048-54FC-43DE-8E1B-361D056F5933}"/>
                </c:ext>
              </c:extLst>
            </c:dLbl>
            <c:dLbl>
              <c:idx val="35"/>
              <c:delete val="1"/>
              <c:extLst>
                <c:ext xmlns:c15="http://schemas.microsoft.com/office/drawing/2012/chart" uri="{CE6537A1-D6FC-4f65-9D91-7224C49458BB}"/>
                <c:ext xmlns:c16="http://schemas.microsoft.com/office/drawing/2014/chart" uri="{C3380CC4-5D6E-409C-BE32-E72D297353CC}">
                  <c16:uniqueId val="{00000049-54FC-43DE-8E1B-361D056F5933}"/>
                </c:ext>
              </c:extLst>
            </c:dLbl>
            <c:dLbl>
              <c:idx val="36"/>
              <c:layout>
                <c:manualLayout>
                  <c:x val="-1.9873532068654019E-2"/>
                  <c:y val="-0.25338253382533832"/>
                </c:manualLayout>
              </c:layout>
              <c:spPr>
                <a:noFill/>
                <a:ln>
                  <a:noFill/>
                </a:ln>
                <a:effectLst/>
              </c:spPr>
              <c:txPr>
                <a:bodyPr wrap="square" lIns="38100" tIns="19050" rIns="38100" bIns="19050" anchor="ctr">
                  <a:spAutoFit/>
                </a:bodyPr>
                <a:lstStyle/>
                <a:p>
                  <a:pPr>
                    <a:defRPr sz="1200"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A-54FC-43DE-8E1B-361D056F593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'Inc Alloc'!$AR$5:$AR$41</c:f>
              <c:strCache>
                <c:ptCount val="37"/>
                <c:pt idx="0">
                  <c:v>FY 86-87 </c:v>
                </c:pt>
                <c:pt idx="1">
                  <c:v>FY 87-88 </c:v>
                </c:pt>
                <c:pt idx="2">
                  <c:v>FY 88-89 </c:v>
                </c:pt>
                <c:pt idx="3">
                  <c:v>FY 89-90 </c:v>
                </c:pt>
                <c:pt idx="4">
                  <c:v>FY 90-91 </c:v>
                </c:pt>
                <c:pt idx="5">
                  <c:v>FY 91-92 </c:v>
                </c:pt>
                <c:pt idx="6">
                  <c:v>FY 92-93 </c:v>
                </c:pt>
                <c:pt idx="7">
                  <c:v>FY 93-94 </c:v>
                </c:pt>
                <c:pt idx="8">
                  <c:v>FY 94-95 </c:v>
                </c:pt>
                <c:pt idx="9">
                  <c:v>FY 95-96 </c:v>
                </c:pt>
                <c:pt idx="10">
                  <c:v>FY 96-97 </c:v>
                </c:pt>
                <c:pt idx="11">
                  <c:v>FY 97-98 </c:v>
                </c:pt>
                <c:pt idx="12">
                  <c:v>FY 98-99 </c:v>
                </c:pt>
                <c:pt idx="13">
                  <c:v>FY 99-00 </c:v>
                </c:pt>
                <c:pt idx="14">
                  <c:v>FY 00-01 </c:v>
                </c:pt>
                <c:pt idx="15">
                  <c:v>FY 01-02 </c:v>
                </c:pt>
                <c:pt idx="16">
                  <c:v>FY 02-03 </c:v>
                </c:pt>
                <c:pt idx="17">
                  <c:v>FY 03-04 </c:v>
                </c:pt>
                <c:pt idx="18">
                  <c:v>FY 04-05 </c:v>
                </c:pt>
                <c:pt idx="19">
                  <c:v>FY 05-06 </c:v>
                </c:pt>
                <c:pt idx="20">
                  <c:v>FY 06-07 </c:v>
                </c:pt>
                <c:pt idx="21">
                  <c:v>FY 07-08 </c:v>
                </c:pt>
                <c:pt idx="22">
                  <c:v>FY 08-09 </c:v>
                </c:pt>
                <c:pt idx="23">
                  <c:v>FY 09-10 </c:v>
                </c:pt>
                <c:pt idx="24">
                  <c:v>FY 10-11 </c:v>
                </c:pt>
                <c:pt idx="25">
                  <c:v>FY 11-12</c:v>
                </c:pt>
                <c:pt idx="26">
                  <c:v>FY 12-13</c:v>
                </c:pt>
                <c:pt idx="27">
                  <c:v>FY 13-14</c:v>
                </c:pt>
                <c:pt idx="28">
                  <c:v>FY 14-15</c:v>
                </c:pt>
                <c:pt idx="29">
                  <c:v>FY 15-16</c:v>
                </c:pt>
                <c:pt idx="30">
                  <c:v>FY 16-17</c:v>
                </c:pt>
                <c:pt idx="31">
                  <c:v>FY 17-18</c:v>
                </c:pt>
                <c:pt idx="32">
                  <c:v>FY 18-19</c:v>
                </c:pt>
                <c:pt idx="33">
                  <c:v>FY 19-20</c:v>
                </c:pt>
                <c:pt idx="34">
                  <c:v>FY 20-21</c:v>
                </c:pt>
                <c:pt idx="35">
                  <c:v>FY 21-22</c:v>
                </c:pt>
                <c:pt idx="36">
                  <c:v>FY 22-23</c:v>
                </c:pt>
              </c:strCache>
            </c:strRef>
          </c:cat>
          <c:val>
            <c:numRef>
              <c:f>'Inc Alloc'!$AX$5:$AX$41</c:f>
              <c:numCache>
                <c:formatCode>#,##0</c:formatCode>
                <c:ptCount val="37"/>
                <c:pt idx="0">
                  <c:v>21.518834420000001</c:v>
                </c:pt>
                <c:pt idx="1">
                  <c:v>60.855451090000003</c:v>
                </c:pt>
                <c:pt idx="2">
                  <c:v>103.88790377000001</c:v>
                </c:pt>
                <c:pt idx="3">
                  <c:v>147.31683597</c:v>
                </c:pt>
                <c:pt idx="4">
                  <c:v>198.08661254</c:v>
                </c:pt>
                <c:pt idx="5">
                  <c:v>251.82233782</c:v>
                </c:pt>
                <c:pt idx="6">
                  <c:v>308.88067053999998</c:v>
                </c:pt>
                <c:pt idx="7">
                  <c:v>370.46940095999997</c:v>
                </c:pt>
                <c:pt idx="8">
                  <c:v>442.91913916999999</c:v>
                </c:pt>
                <c:pt idx="9">
                  <c:v>494.47377693999999</c:v>
                </c:pt>
                <c:pt idx="10">
                  <c:v>554.22976601999994</c:v>
                </c:pt>
                <c:pt idx="11">
                  <c:v>613.26462803999993</c:v>
                </c:pt>
                <c:pt idx="12">
                  <c:v>670.42980498999998</c:v>
                </c:pt>
                <c:pt idx="13">
                  <c:v>726.12966082000003</c:v>
                </c:pt>
                <c:pt idx="14">
                  <c:v>792.81810608000001</c:v>
                </c:pt>
                <c:pt idx="15">
                  <c:v>844.06239935999997</c:v>
                </c:pt>
                <c:pt idx="16">
                  <c:v>896.08733441999993</c:v>
                </c:pt>
                <c:pt idx="17">
                  <c:v>960.85395519999997</c:v>
                </c:pt>
                <c:pt idx="18">
                  <c:v>1029.43757469</c:v>
                </c:pt>
                <c:pt idx="19">
                  <c:v>1093.1578298500001</c:v>
                </c:pt>
                <c:pt idx="20">
                  <c:v>1158.3906181300001</c:v>
                </c:pt>
                <c:pt idx="21">
                  <c:v>1226.1552439400002</c:v>
                </c:pt>
                <c:pt idx="22">
                  <c:v>1295.1879561600001</c:v>
                </c:pt>
                <c:pt idx="23">
                  <c:v>1345.7661163500002</c:v>
                </c:pt>
                <c:pt idx="24">
                  <c:v>1392.8341080000002</c:v>
                </c:pt>
                <c:pt idx="25">
                  <c:v>1440.2188118100003</c:v>
                </c:pt>
                <c:pt idx="26">
                  <c:v>1498.2299623400002</c:v>
                </c:pt>
                <c:pt idx="27">
                  <c:v>1557.0435688900002</c:v>
                </c:pt>
                <c:pt idx="28">
                  <c:v>1599.3874441100002</c:v>
                </c:pt>
                <c:pt idx="29">
                  <c:v>1643.8164831300001</c:v>
                </c:pt>
                <c:pt idx="30">
                  <c:v>1681.6190847800001</c:v>
                </c:pt>
                <c:pt idx="31">
                  <c:v>1722.1421861900001</c:v>
                </c:pt>
                <c:pt idx="32">
                  <c:v>1763.3031074300002</c:v>
                </c:pt>
                <c:pt idx="33">
                  <c:v>1796.9222358600002</c:v>
                </c:pt>
                <c:pt idx="34" formatCode="_(* #,##0_);_(* \(#,##0\);_(* &quot;-&quot;??_);_(@_)">
                  <c:v>1850.4526604200003</c:v>
                </c:pt>
                <c:pt idx="35" formatCode="_(* #,##0_);_(* \(#,##0\);_(* &quot;-&quot;??_);_(@_)">
                  <c:v>1885.2193965700003</c:v>
                </c:pt>
                <c:pt idx="36" formatCode="_(* #,##0_);_(* \(#,##0\);_(* &quot;-&quot;??_);_(@_)">
                  <c:v>1916.3909203800004</c:v>
                </c:pt>
              </c:numCache>
            </c:numRef>
          </c:val>
          <c:extLst>
            <c:ext xmlns:c16="http://schemas.microsoft.com/office/drawing/2014/chart" uri="{C3380CC4-5D6E-409C-BE32-E72D297353CC}">
              <c16:uniqueId val="{0000004B-54FC-43DE-8E1B-361D056F5933}"/>
            </c:ext>
          </c:extLst>
        </c:ser>
        <c:ser>
          <c:idx val="3"/>
          <c:order val="2"/>
          <c:tx>
            <c:strRef>
              <c:f>'Inc Alloc'!$AW$4</c:f>
              <c:strCache>
                <c:ptCount val="1"/>
                <c:pt idx="0">
                  <c:v>Cumulative to Permanent Fund</c:v>
                </c:pt>
              </c:strCache>
            </c:strRef>
          </c:tx>
          <c:spPr>
            <a:solidFill>
              <a:schemeClr val="accent4">
                <a:lumMod val="60000"/>
                <a:lumOff val="40000"/>
              </a:schemeClr>
            </a:solidFill>
            <a:ln w="25400">
              <a:noFill/>
            </a:ln>
          </c:spPr>
          <c:dLbls>
            <c:dLbl>
              <c:idx val="0"/>
              <c:delete val="1"/>
              <c:extLst>
                <c:ext xmlns:c15="http://schemas.microsoft.com/office/drawing/2012/chart" uri="{CE6537A1-D6FC-4f65-9D91-7224C49458BB}"/>
                <c:ext xmlns:c16="http://schemas.microsoft.com/office/drawing/2014/chart" uri="{C3380CC4-5D6E-409C-BE32-E72D297353CC}">
                  <c16:uniqueId val="{0000004C-54FC-43DE-8E1B-361D056F5933}"/>
                </c:ext>
              </c:extLst>
            </c:dLbl>
            <c:dLbl>
              <c:idx val="1"/>
              <c:delete val="1"/>
              <c:extLst>
                <c:ext xmlns:c15="http://schemas.microsoft.com/office/drawing/2012/chart" uri="{CE6537A1-D6FC-4f65-9D91-7224C49458BB}"/>
                <c:ext xmlns:c16="http://schemas.microsoft.com/office/drawing/2014/chart" uri="{C3380CC4-5D6E-409C-BE32-E72D297353CC}">
                  <c16:uniqueId val="{0000004D-54FC-43DE-8E1B-361D056F5933}"/>
                </c:ext>
              </c:extLst>
            </c:dLbl>
            <c:dLbl>
              <c:idx val="2"/>
              <c:delete val="1"/>
              <c:extLst>
                <c:ext xmlns:c15="http://schemas.microsoft.com/office/drawing/2012/chart" uri="{CE6537A1-D6FC-4f65-9D91-7224C49458BB}"/>
                <c:ext xmlns:c16="http://schemas.microsoft.com/office/drawing/2014/chart" uri="{C3380CC4-5D6E-409C-BE32-E72D297353CC}">
                  <c16:uniqueId val="{0000004E-54FC-43DE-8E1B-361D056F5933}"/>
                </c:ext>
              </c:extLst>
            </c:dLbl>
            <c:dLbl>
              <c:idx val="3"/>
              <c:delete val="1"/>
              <c:extLst>
                <c:ext xmlns:c15="http://schemas.microsoft.com/office/drawing/2012/chart" uri="{CE6537A1-D6FC-4f65-9D91-7224C49458BB}"/>
                <c:ext xmlns:c16="http://schemas.microsoft.com/office/drawing/2014/chart" uri="{C3380CC4-5D6E-409C-BE32-E72D297353CC}">
                  <c16:uniqueId val="{0000004F-54FC-43DE-8E1B-361D056F5933}"/>
                </c:ext>
              </c:extLst>
            </c:dLbl>
            <c:dLbl>
              <c:idx val="4"/>
              <c:layout>
                <c:manualLayout>
                  <c:x val="3.6133694670280035E-3"/>
                  <c:y val="-2.95202952029520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0-54FC-43DE-8E1B-361D056F5933}"/>
                </c:ext>
              </c:extLst>
            </c:dLbl>
            <c:dLbl>
              <c:idx val="5"/>
              <c:delete val="1"/>
              <c:extLst>
                <c:ext xmlns:c15="http://schemas.microsoft.com/office/drawing/2012/chart" uri="{CE6537A1-D6FC-4f65-9D91-7224C49458BB}"/>
                <c:ext xmlns:c16="http://schemas.microsoft.com/office/drawing/2014/chart" uri="{C3380CC4-5D6E-409C-BE32-E72D297353CC}">
                  <c16:uniqueId val="{00000051-54FC-43DE-8E1B-361D056F5933}"/>
                </c:ext>
              </c:extLst>
            </c:dLbl>
            <c:dLbl>
              <c:idx val="6"/>
              <c:delete val="1"/>
              <c:extLst>
                <c:ext xmlns:c15="http://schemas.microsoft.com/office/drawing/2012/chart" uri="{CE6537A1-D6FC-4f65-9D91-7224C49458BB}"/>
                <c:ext xmlns:c16="http://schemas.microsoft.com/office/drawing/2014/chart" uri="{C3380CC4-5D6E-409C-BE32-E72D297353CC}">
                  <c16:uniqueId val="{00000052-54FC-43DE-8E1B-361D056F5933}"/>
                </c:ext>
              </c:extLst>
            </c:dLbl>
            <c:dLbl>
              <c:idx val="7"/>
              <c:delete val="1"/>
              <c:extLst>
                <c:ext xmlns:c15="http://schemas.microsoft.com/office/drawing/2012/chart" uri="{CE6537A1-D6FC-4f65-9D91-7224C49458BB}"/>
                <c:ext xmlns:c16="http://schemas.microsoft.com/office/drawing/2014/chart" uri="{C3380CC4-5D6E-409C-BE32-E72D297353CC}">
                  <c16:uniqueId val="{00000053-54FC-43DE-8E1B-361D056F5933}"/>
                </c:ext>
              </c:extLst>
            </c:dLbl>
            <c:dLbl>
              <c:idx val="8"/>
              <c:layout>
                <c:manualLayout>
                  <c:x val="0"/>
                  <c:y val="-4.42804428044281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4-54FC-43DE-8E1B-361D056F5933}"/>
                </c:ext>
              </c:extLst>
            </c:dLbl>
            <c:dLbl>
              <c:idx val="9"/>
              <c:delete val="1"/>
              <c:extLst>
                <c:ext xmlns:c15="http://schemas.microsoft.com/office/drawing/2012/chart" uri="{CE6537A1-D6FC-4f65-9D91-7224C49458BB}"/>
                <c:ext xmlns:c16="http://schemas.microsoft.com/office/drawing/2014/chart" uri="{C3380CC4-5D6E-409C-BE32-E72D297353CC}">
                  <c16:uniqueId val="{00000055-54FC-43DE-8E1B-361D056F5933}"/>
                </c:ext>
              </c:extLst>
            </c:dLbl>
            <c:dLbl>
              <c:idx val="10"/>
              <c:delete val="1"/>
              <c:extLst>
                <c:ext xmlns:c15="http://schemas.microsoft.com/office/drawing/2012/chart" uri="{CE6537A1-D6FC-4f65-9D91-7224C49458BB}"/>
                <c:ext xmlns:c16="http://schemas.microsoft.com/office/drawing/2014/chart" uri="{C3380CC4-5D6E-409C-BE32-E72D297353CC}">
                  <c16:uniqueId val="{00000056-54FC-43DE-8E1B-361D056F5933}"/>
                </c:ext>
              </c:extLst>
            </c:dLbl>
            <c:dLbl>
              <c:idx val="11"/>
              <c:delete val="1"/>
              <c:extLst>
                <c:ext xmlns:c15="http://schemas.microsoft.com/office/drawing/2012/chart" uri="{CE6537A1-D6FC-4f65-9D91-7224C49458BB}"/>
                <c:ext xmlns:c16="http://schemas.microsoft.com/office/drawing/2014/chart" uri="{C3380CC4-5D6E-409C-BE32-E72D297353CC}">
                  <c16:uniqueId val="{00000057-54FC-43DE-8E1B-361D056F5933}"/>
                </c:ext>
              </c:extLst>
            </c:dLbl>
            <c:dLbl>
              <c:idx val="12"/>
              <c:layout>
                <c:manualLayout>
                  <c:x val="0"/>
                  <c:y val="-5.16605166051662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8-54FC-43DE-8E1B-361D056F5933}"/>
                </c:ext>
              </c:extLst>
            </c:dLbl>
            <c:dLbl>
              <c:idx val="13"/>
              <c:delete val="1"/>
              <c:extLst>
                <c:ext xmlns:c15="http://schemas.microsoft.com/office/drawing/2012/chart" uri="{CE6537A1-D6FC-4f65-9D91-7224C49458BB}"/>
                <c:ext xmlns:c16="http://schemas.microsoft.com/office/drawing/2014/chart" uri="{C3380CC4-5D6E-409C-BE32-E72D297353CC}">
                  <c16:uniqueId val="{00000059-54FC-43DE-8E1B-361D056F5933}"/>
                </c:ext>
              </c:extLst>
            </c:dLbl>
            <c:dLbl>
              <c:idx val="14"/>
              <c:delete val="1"/>
              <c:extLst>
                <c:ext xmlns:c15="http://schemas.microsoft.com/office/drawing/2012/chart" uri="{CE6537A1-D6FC-4f65-9D91-7224C49458BB}"/>
                <c:ext xmlns:c16="http://schemas.microsoft.com/office/drawing/2014/chart" uri="{C3380CC4-5D6E-409C-BE32-E72D297353CC}">
                  <c16:uniqueId val="{0000005A-54FC-43DE-8E1B-361D056F5933}"/>
                </c:ext>
              </c:extLst>
            </c:dLbl>
            <c:dLbl>
              <c:idx val="15"/>
              <c:delete val="1"/>
              <c:extLst>
                <c:ext xmlns:c15="http://schemas.microsoft.com/office/drawing/2012/chart" uri="{CE6537A1-D6FC-4f65-9D91-7224C49458BB}"/>
                <c:ext xmlns:c16="http://schemas.microsoft.com/office/drawing/2014/chart" uri="{C3380CC4-5D6E-409C-BE32-E72D297353CC}">
                  <c16:uniqueId val="{0000005B-54FC-43DE-8E1B-361D056F5933}"/>
                </c:ext>
              </c:extLst>
            </c:dLbl>
            <c:dLbl>
              <c:idx val="16"/>
              <c:layout>
                <c:manualLayout>
                  <c:x val="-6.6244341635225974E-17"/>
                  <c:y val="-6.64206642066420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C-54FC-43DE-8E1B-361D056F5933}"/>
                </c:ext>
              </c:extLst>
            </c:dLbl>
            <c:dLbl>
              <c:idx val="17"/>
              <c:delete val="1"/>
              <c:extLst>
                <c:ext xmlns:c15="http://schemas.microsoft.com/office/drawing/2012/chart" uri="{CE6537A1-D6FC-4f65-9D91-7224C49458BB}"/>
                <c:ext xmlns:c16="http://schemas.microsoft.com/office/drawing/2014/chart" uri="{C3380CC4-5D6E-409C-BE32-E72D297353CC}">
                  <c16:uniqueId val="{0000005D-54FC-43DE-8E1B-361D056F5933}"/>
                </c:ext>
              </c:extLst>
            </c:dLbl>
            <c:dLbl>
              <c:idx val="18"/>
              <c:delete val="1"/>
              <c:extLst>
                <c:ext xmlns:c15="http://schemas.microsoft.com/office/drawing/2012/chart" uri="{CE6537A1-D6FC-4f65-9D91-7224C49458BB}"/>
                <c:ext xmlns:c16="http://schemas.microsoft.com/office/drawing/2014/chart" uri="{C3380CC4-5D6E-409C-BE32-E72D297353CC}">
                  <c16:uniqueId val="{0000005E-54FC-43DE-8E1B-361D056F5933}"/>
                </c:ext>
              </c:extLst>
            </c:dLbl>
            <c:dLbl>
              <c:idx val="19"/>
              <c:delete val="1"/>
              <c:extLst>
                <c:ext xmlns:c15="http://schemas.microsoft.com/office/drawing/2012/chart" uri="{CE6537A1-D6FC-4f65-9D91-7224C49458BB}"/>
                <c:ext xmlns:c16="http://schemas.microsoft.com/office/drawing/2014/chart" uri="{C3380CC4-5D6E-409C-BE32-E72D297353CC}">
                  <c16:uniqueId val="{0000005F-54FC-43DE-8E1B-361D056F5933}"/>
                </c:ext>
              </c:extLst>
            </c:dLbl>
            <c:dLbl>
              <c:idx val="20"/>
              <c:layout>
                <c:manualLayout>
                  <c:x val="-6.6244341635225974E-17"/>
                  <c:y val="-8.11808118081180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0-54FC-43DE-8E1B-361D056F5933}"/>
                </c:ext>
              </c:extLst>
            </c:dLbl>
            <c:dLbl>
              <c:idx val="21"/>
              <c:delete val="1"/>
              <c:extLst>
                <c:ext xmlns:c15="http://schemas.microsoft.com/office/drawing/2012/chart" uri="{CE6537A1-D6FC-4f65-9D91-7224C49458BB}"/>
                <c:ext xmlns:c16="http://schemas.microsoft.com/office/drawing/2014/chart" uri="{C3380CC4-5D6E-409C-BE32-E72D297353CC}">
                  <c16:uniqueId val="{00000061-54FC-43DE-8E1B-361D056F5933}"/>
                </c:ext>
              </c:extLst>
            </c:dLbl>
            <c:dLbl>
              <c:idx val="22"/>
              <c:delete val="1"/>
              <c:extLst>
                <c:ext xmlns:c15="http://schemas.microsoft.com/office/drawing/2012/chart" uri="{CE6537A1-D6FC-4f65-9D91-7224C49458BB}"/>
                <c:ext xmlns:c16="http://schemas.microsoft.com/office/drawing/2014/chart" uri="{C3380CC4-5D6E-409C-BE32-E72D297353CC}">
                  <c16:uniqueId val="{00000062-54FC-43DE-8E1B-361D056F5933}"/>
                </c:ext>
              </c:extLst>
            </c:dLbl>
            <c:dLbl>
              <c:idx val="23"/>
              <c:delete val="1"/>
              <c:extLst>
                <c:ext xmlns:c15="http://schemas.microsoft.com/office/drawing/2012/chart" uri="{CE6537A1-D6FC-4f65-9D91-7224C49458BB}"/>
                <c:ext xmlns:c16="http://schemas.microsoft.com/office/drawing/2014/chart" uri="{C3380CC4-5D6E-409C-BE32-E72D297353CC}">
                  <c16:uniqueId val="{00000063-54FC-43DE-8E1B-361D056F5933}"/>
                </c:ext>
              </c:extLst>
            </c:dLbl>
            <c:dLbl>
              <c:idx val="24"/>
              <c:layout>
                <c:manualLayout>
                  <c:x val="1.8066847335140017E-3"/>
                  <c:y val="-8.85608856088560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4-54FC-43DE-8E1B-361D056F5933}"/>
                </c:ext>
              </c:extLst>
            </c:dLbl>
            <c:dLbl>
              <c:idx val="25"/>
              <c:delete val="1"/>
              <c:extLst>
                <c:ext xmlns:c15="http://schemas.microsoft.com/office/drawing/2012/chart" uri="{CE6537A1-D6FC-4f65-9D91-7224C49458BB}"/>
                <c:ext xmlns:c16="http://schemas.microsoft.com/office/drawing/2014/chart" uri="{C3380CC4-5D6E-409C-BE32-E72D297353CC}">
                  <c16:uniqueId val="{00000065-54FC-43DE-8E1B-361D056F5933}"/>
                </c:ext>
              </c:extLst>
            </c:dLbl>
            <c:dLbl>
              <c:idx val="26"/>
              <c:delete val="1"/>
              <c:extLst>
                <c:ext xmlns:c15="http://schemas.microsoft.com/office/drawing/2012/chart" uri="{CE6537A1-D6FC-4f65-9D91-7224C49458BB}"/>
                <c:ext xmlns:c16="http://schemas.microsoft.com/office/drawing/2014/chart" uri="{C3380CC4-5D6E-409C-BE32-E72D297353CC}">
                  <c16:uniqueId val="{00000066-54FC-43DE-8E1B-361D056F5933}"/>
                </c:ext>
              </c:extLst>
            </c:dLbl>
            <c:dLbl>
              <c:idx val="27"/>
              <c:delete val="1"/>
              <c:extLst>
                <c:ext xmlns:c15="http://schemas.microsoft.com/office/drawing/2012/chart" uri="{CE6537A1-D6FC-4f65-9D91-7224C49458BB}"/>
                <c:ext xmlns:c16="http://schemas.microsoft.com/office/drawing/2014/chart" uri="{C3380CC4-5D6E-409C-BE32-E72D297353CC}">
                  <c16:uniqueId val="{00000067-54FC-43DE-8E1B-361D056F5933}"/>
                </c:ext>
              </c:extLst>
            </c:dLbl>
            <c:dLbl>
              <c:idx val="28"/>
              <c:layout>
                <c:manualLayout>
                  <c:x val="-3.6133694670280035E-3"/>
                  <c:y val="-0.103321033210332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8-54FC-43DE-8E1B-361D056F5933}"/>
                </c:ext>
              </c:extLst>
            </c:dLbl>
            <c:dLbl>
              <c:idx val="29"/>
              <c:delete val="1"/>
              <c:extLst>
                <c:ext xmlns:c15="http://schemas.microsoft.com/office/drawing/2012/chart" uri="{CE6537A1-D6FC-4f65-9D91-7224C49458BB}"/>
                <c:ext xmlns:c16="http://schemas.microsoft.com/office/drawing/2014/chart" uri="{C3380CC4-5D6E-409C-BE32-E72D297353CC}">
                  <c16:uniqueId val="{00000069-54FC-43DE-8E1B-361D056F5933}"/>
                </c:ext>
              </c:extLst>
            </c:dLbl>
            <c:dLbl>
              <c:idx val="30"/>
              <c:delete val="1"/>
              <c:extLst>
                <c:ext xmlns:c15="http://schemas.microsoft.com/office/drawing/2012/chart" uri="{CE6537A1-D6FC-4f65-9D91-7224C49458BB}"/>
                <c:ext xmlns:c16="http://schemas.microsoft.com/office/drawing/2014/chart" uri="{C3380CC4-5D6E-409C-BE32-E72D297353CC}">
                  <c16:uniqueId val="{0000006A-54FC-43DE-8E1B-361D056F5933}"/>
                </c:ext>
              </c:extLst>
            </c:dLbl>
            <c:dLbl>
              <c:idx val="31"/>
              <c:delete val="1"/>
              <c:extLst>
                <c:ext xmlns:c15="http://schemas.microsoft.com/office/drawing/2012/chart" uri="{CE6537A1-D6FC-4f65-9D91-7224C49458BB}"/>
                <c:ext xmlns:c16="http://schemas.microsoft.com/office/drawing/2014/chart" uri="{C3380CC4-5D6E-409C-BE32-E72D297353CC}">
                  <c16:uniqueId val="{0000006B-54FC-43DE-8E1B-361D056F5933}"/>
                </c:ext>
              </c:extLst>
            </c:dLbl>
            <c:dLbl>
              <c:idx val="32"/>
              <c:layout>
                <c:manualLayout>
                  <c:x val="-3.6133694670280035E-3"/>
                  <c:y val="-0.11316113161131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6C-54FC-43DE-8E1B-361D056F5933}"/>
                </c:ext>
              </c:extLst>
            </c:dLbl>
            <c:dLbl>
              <c:idx val="33"/>
              <c:delete val="1"/>
              <c:extLst>
                <c:ext xmlns:c15="http://schemas.microsoft.com/office/drawing/2012/chart" uri="{CE6537A1-D6FC-4f65-9D91-7224C49458BB}"/>
                <c:ext xmlns:c16="http://schemas.microsoft.com/office/drawing/2014/chart" uri="{C3380CC4-5D6E-409C-BE32-E72D297353CC}">
                  <c16:uniqueId val="{0000006D-54FC-43DE-8E1B-361D056F5933}"/>
                </c:ext>
              </c:extLst>
            </c:dLbl>
            <c:dLbl>
              <c:idx val="34"/>
              <c:delete val="1"/>
              <c:extLst>
                <c:ext xmlns:c15="http://schemas.microsoft.com/office/drawing/2012/chart" uri="{CE6537A1-D6FC-4f65-9D91-7224C49458BB}"/>
                <c:ext xmlns:c16="http://schemas.microsoft.com/office/drawing/2014/chart" uri="{C3380CC4-5D6E-409C-BE32-E72D297353CC}">
                  <c16:uniqueId val="{0000006E-54FC-43DE-8E1B-361D056F5933}"/>
                </c:ext>
              </c:extLst>
            </c:dLbl>
            <c:dLbl>
              <c:idx val="35"/>
              <c:delete val="1"/>
              <c:extLst>
                <c:ext xmlns:c15="http://schemas.microsoft.com/office/drawing/2012/chart" uri="{CE6537A1-D6FC-4f65-9D91-7224C49458BB}"/>
                <c:ext xmlns:c16="http://schemas.microsoft.com/office/drawing/2014/chart" uri="{C3380CC4-5D6E-409C-BE32-E72D297353CC}">
                  <c16:uniqueId val="{0000006F-54FC-43DE-8E1B-361D056F5933}"/>
                </c:ext>
              </c:extLst>
            </c:dLbl>
            <c:dLbl>
              <c:idx val="36"/>
              <c:layout>
                <c:manualLayout>
                  <c:x val="-1.626016260162615E-2"/>
                  <c:y val="-0.12546125461254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0-54FC-43DE-8E1B-361D056F5933}"/>
                </c:ext>
              </c:extLst>
            </c:dLbl>
            <c:spPr>
              <a:noFill/>
              <a:ln>
                <a:noFill/>
              </a:ln>
              <a:effectLst/>
            </c:spPr>
            <c:txPr>
              <a:bodyPr wrap="square" lIns="38100" tIns="19050" rIns="38100" bIns="19050" anchor="ctr">
                <a:spAutoFit/>
              </a:bodyPr>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'Inc Alloc'!$AR$5:$AR$41</c:f>
              <c:strCache>
                <c:ptCount val="37"/>
                <c:pt idx="0">
                  <c:v>FY 86-87 </c:v>
                </c:pt>
                <c:pt idx="1">
                  <c:v>FY 87-88 </c:v>
                </c:pt>
                <c:pt idx="2">
                  <c:v>FY 88-89 </c:v>
                </c:pt>
                <c:pt idx="3">
                  <c:v>FY 89-90 </c:v>
                </c:pt>
                <c:pt idx="4">
                  <c:v>FY 90-91 </c:v>
                </c:pt>
                <c:pt idx="5">
                  <c:v>FY 91-92 </c:v>
                </c:pt>
                <c:pt idx="6">
                  <c:v>FY 92-93 </c:v>
                </c:pt>
                <c:pt idx="7">
                  <c:v>FY 93-94 </c:v>
                </c:pt>
                <c:pt idx="8">
                  <c:v>FY 94-95 </c:v>
                </c:pt>
                <c:pt idx="9">
                  <c:v>FY 95-96 </c:v>
                </c:pt>
                <c:pt idx="10">
                  <c:v>FY 96-97 </c:v>
                </c:pt>
                <c:pt idx="11">
                  <c:v>FY 97-98 </c:v>
                </c:pt>
                <c:pt idx="12">
                  <c:v>FY 98-99 </c:v>
                </c:pt>
                <c:pt idx="13">
                  <c:v>FY 99-00 </c:v>
                </c:pt>
                <c:pt idx="14">
                  <c:v>FY 00-01 </c:v>
                </c:pt>
                <c:pt idx="15">
                  <c:v>FY 01-02 </c:v>
                </c:pt>
                <c:pt idx="16">
                  <c:v>FY 02-03 </c:v>
                </c:pt>
                <c:pt idx="17">
                  <c:v>FY 03-04 </c:v>
                </c:pt>
                <c:pt idx="18">
                  <c:v>FY 04-05 </c:v>
                </c:pt>
                <c:pt idx="19">
                  <c:v>FY 05-06 </c:v>
                </c:pt>
                <c:pt idx="20">
                  <c:v>FY 06-07 </c:v>
                </c:pt>
                <c:pt idx="21">
                  <c:v>FY 07-08 </c:v>
                </c:pt>
                <c:pt idx="22">
                  <c:v>FY 08-09 </c:v>
                </c:pt>
                <c:pt idx="23">
                  <c:v>FY 09-10 </c:v>
                </c:pt>
                <c:pt idx="24">
                  <c:v>FY 10-11 </c:v>
                </c:pt>
                <c:pt idx="25">
                  <c:v>FY 11-12</c:v>
                </c:pt>
                <c:pt idx="26">
                  <c:v>FY 12-13</c:v>
                </c:pt>
                <c:pt idx="27">
                  <c:v>FY 13-14</c:v>
                </c:pt>
                <c:pt idx="28">
                  <c:v>FY 14-15</c:v>
                </c:pt>
                <c:pt idx="29">
                  <c:v>FY 15-16</c:v>
                </c:pt>
                <c:pt idx="30">
                  <c:v>FY 16-17</c:v>
                </c:pt>
                <c:pt idx="31">
                  <c:v>FY 17-18</c:v>
                </c:pt>
                <c:pt idx="32">
                  <c:v>FY 18-19</c:v>
                </c:pt>
                <c:pt idx="33">
                  <c:v>FY 19-20</c:v>
                </c:pt>
                <c:pt idx="34">
                  <c:v>FY 20-21</c:v>
                </c:pt>
                <c:pt idx="35">
                  <c:v>FY 21-22</c:v>
                </c:pt>
                <c:pt idx="36">
                  <c:v>FY 22-23</c:v>
                </c:pt>
              </c:strCache>
            </c:strRef>
          </c:cat>
          <c:val>
            <c:numRef>
              <c:f>'Inc Alloc'!$AW$5:$AW$41</c:f>
              <c:numCache>
                <c:formatCode>#,##0</c:formatCode>
                <c:ptCount val="37"/>
                <c:pt idx="0">
                  <c:v>9.6929447800000013</c:v>
                </c:pt>
                <c:pt idx="1">
                  <c:v>25.325150310000001</c:v>
                </c:pt>
                <c:pt idx="2">
                  <c:v>42.189301229999998</c:v>
                </c:pt>
                <c:pt idx="3">
                  <c:v>59.185611949999995</c:v>
                </c:pt>
                <c:pt idx="4">
                  <c:v>78.628870769999992</c:v>
                </c:pt>
                <c:pt idx="5">
                  <c:v>102.42077917999998</c:v>
                </c:pt>
                <c:pt idx="6">
                  <c:v>127.32022338999998</c:v>
                </c:pt>
                <c:pt idx="7">
                  <c:v>153.72980010999999</c:v>
                </c:pt>
                <c:pt idx="8">
                  <c:v>148.87915389</c:v>
                </c:pt>
                <c:pt idx="9">
                  <c:v>166.55851894</c:v>
                </c:pt>
                <c:pt idx="10">
                  <c:v>187.4666886</c:v>
                </c:pt>
                <c:pt idx="11">
                  <c:v>221.40912975999998</c:v>
                </c:pt>
                <c:pt idx="12">
                  <c:v>259.02653600999997</c:v>
                </c:pt>
                <c:pt idx="13">
                  <c:v>281.79865243999996</c:v>
                </c:pt>
                <c:pt idx="14">
                  <c:v>300.83943185999993</c:v>
                </c:pt>
                <c:pt idx="15">
                  <c:v>311.49617625999991</c:v>
                </c:pt>
                <c:pt idx="16">
                  <c:v>327.7025494099999</c:v>
                </c:pt>
                <c:pt idx="17">
                  <c:v>351.10622390999993</c:v>
                </c:pt>
                <c:pt idx="18">
                  <c:v>375.38175976999992</c:v>
                </c:pt>
                <c:pt idx="19">
                  <c:v>395.39361702999992</c:v>
                </c:pt>
                <c:pt idx="20">
                  <c:v>417.51254066999991</c:v>
                </c:pt>
                <c:pt idx="21">
                  <c:v>438.8777290999999</c:v>
                </c:pt>
                <c:pt idx="22">
                  <c:v>461.07015546999992</c:v>
                </c:pt>
                <c:pt idx="23">
                  <c:v>475.38524799999993</c:v>
                </c:pt>
                <c:pt idx="24">
                  <c:v>491.93550397999991</c:v>
                </c:pt>
                <c:pt idx="25">
                  <c:v>512.03524907999986</c:v>
                </c:pt>
                <c:pt idx="26">
                  <c:v>561.72023831999991</c:v>
                </c:pt>
                <c:pt idx="27">
                  <c:v>616.25729553999986</c:v>
                </c:pt>
                <c:pt idx="28">
                  <c:v>630.11059205999982</c:v>
                </c:pt>
                <c:pt idx="29">
                  <c:v>667.43413978999979</c:v>
                </c:pt>
                <c:pt idx="30">
                  <c:v>686.84524379999982</c:v>
                </c:pt>
                <c:pt idx="31">
                  <c:v>713.14785199999983</c:v>
                </c:pt>
                <c:pt idx="32">
                  <c:v>741.03109963999987</c:v>
                </c:pt>
                <c:pt idx="33">
                  <c:v>755.31371009999987</c:v>
                </c:pt>
                <c:pt idx="34" formatCode="_(* #,##0_);_(* \(#,##0\);_(* &quot;-&quot;??_);_(@_)">
                  <c:v>848.28218590999984</c:v>
                </c:pt>
                <c:pt idx="35" formatCode="_(* #,##0_);_(* \(#,##0\);_(* &quot;-&quot;??_);_(@_)">
                  <c:v>878.08788416999982</c:v>
                </c:pt>
                <c:pt idx="36" formatCode="_(* #,##0_);_(* \(#,##0\);_(* &quot;-&quot;??_);_(@_)">
                  <c:v>889.94829488999983</c:v>
                </c:pt>
              </c:numCache>
            </c:numRef>
          </c:val>
          <c:extLst>
            <c:ext xmlns:c16="http://schemas.microsoft.com/office/drawing/2014/chart" uri="{C3380CC4-5D6E-409C-BE32-E72D297353CC}">
              <c16:uniqueId val="{00000071-54FC-43DE-8E1B-361D056F5933}"/>
            </c:ext>
          </c:extLst>
        </c:ser>
        <c:dLbls>
          <c:showLegendKey val="0"/>
          <c:showVal val="0"/>
          <c:showCatName val="0"/>
          <c:showSerName val="0"/>
          <c:showPercent val="0"/>
          <c:showBubbleSize val="0"/>
        </c:dLbls>
        <c:axId val="263388543"/>
        <c:axId val="1"/>
      </c:areaChart>
      <c:catAx>
        <c:axId val="263388543"/>
        <c:scaling>
          <c:orientation val="minMax"/>
        </c:scaling>
        <c:delete val="0"/>
        <c:axPos val="b"/>
        <c:majorGridlines/>
        <c:numFmt formatCode="General" sourceLinked="0"/>
        <c:majorTickMark val="out"/>
        <c:minorTickMark val="none"/>
        <c:tickLblPos val="nextTo"/>
        <c:txPr>
          <a:bodyPr rot="-5400000" vert="horz"/>
          <a:lstStyle/>
          <a:p>
            <a:pPr>
              <a:defRPr/>
            </a:pPr>
            <a:endParaRPr lang="en-US"/>
          </a:p>
        </c:txPr>
        <c:crossAx val="1"/>
        <c:crosses val="autoZero"/>
        <c:auto val="1"/>
        <c:lblAlgn val="ctr"/>
        <c:lblOffset val="100"/>
        <c:tickLblSkip val="4"/>
        <c:noMultiLvlLbl val="0"/>
      </c:catAx>
      <c:valAx>
        <c:axId val="1"/>
        <c:scaling>
          <c:orientation val="minMax"/>
          <c:min val="0"/>
        </c:scaling>
        <c:delete val="0"/>
        <c:axPos val="l"/>
        <c:majorGridlines/>
        <c:title>
          <c:tx>
            <c:rich>
              <a:bodyPr/>
              <a:lstStyle/>
              <a:p>
                <a:pPr>
                  <a:defRPr sz="1200" b="1" i="0" u="none" strike="noStrike" baseline="0">
                    <a:solidFill>
                      <a:srgbClr val="000000"/>
                    </a:solidFill>
                    <a:latin typeface="Calibri"/>
                    <a:ea typeface="Calibri"/>
                    <a:cs typeface="Calibri"/>
                  </a:defRPr>
                </a:pPr>
                <a:r>
                  <a:rPr lang="en-US"/>
                  <a:t>$ Millions</a:t>
                </a:r>
              </a:p>
            </c:rich>
          </c:tx>
          <c:overlay val="0"/>
        </c:title>
        <c:numFmt formatCode="#,##0" sourceLinked="0"/>
        <c:majorTickMark val="out"/>
        <c:minorTickMark val="none"/>
        <c:tickLblPos val="nextTo"/>
        <c:txPr>
          <a:bodyPr rot="0" vert="horz"/>
          <a:lstStyle/>
          <a:p>
            <a:pPr>
              <a:defRPr sz="1000" b="1" i="0" u="none" strike="noStrike" baseline="0">
                <a:solidFill>
                  <a:srgbClr val="000000"/>
                </a:solidFill>
                <a:latin typeface="Calibri"/>
                <a:ea typeface="Calibri"/>
                <a:cs typeface="Calibri"/>
              </a:defRPr>
            </a:pPr>
            <a:endParaRPr lang="en-US"/>
          </a:p>
        </c:txPr>
        <c:crossAx val="263388543"/>
        <c:crosses val="autoZero"/>
        <c:crossBetween val="midCat"/>
        <c:majorUnit val="400"/>
        <c:minorUnit val="100"/>
      </c:valAx>
      <c:spPr>
        <a:noFill/>
        <a:ln w="12700">
          <a:solidFill>
            <a:schemeClr val="tx1"/>
          </a:solidFill>
        </a:ln>
      </c:spPr>
    </c:plotArea>
    <c:legend>
      <c:legendPos val="b"/>
      <c:overlay val="0"/>
    </c:legend>
    <c:plotVisOnly val="1"/>
    <c:dispBlanksAs val="zero"/>
    <c:showDLblsOverMax val="0"/>
  </c:chart>
  <c:spPr>
    <a:noFill/>
    <a:ln>
      <a:solidFill>
        <a:schemeClr val="tx1"/>
      </a:solid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rgbClr val="FF0000"/>
              </a:solidFill>
              <a:ln>
                <a:noFill/>
              </a:ln>
              <a:effectLst/>
              <a:sp3d/>
            </c:spPr>
            <c:extLst>
              <c:ext xmlns:c16="http://schemas.microsoft.com/office/drawing/2014/chart" uri="{C3380CC4-5D6E-409C-BE32-E72D297353CC}">
                <c16:uniqueId val="{00000001-DAAF-46DA-9035-7666E338DF90}"/>
              </c:ext>
            </c:extLst>
          </c:dPt>
          <c:dPt>
            <c:idx val="1"/>
            <c:invertIfNegative val="0"/>
            <c:bubble3D val="0"/>
            <c:spPr>
              <a:solidFill>
                <a:srgbClr val="F731D1"/>
              </a:solidFill>
              <a:ln>
                <a:noFill/>
              </a:ln>
              <a:effectLst/>
              <a:sp3d/>
            </c:spPr>
            <c:extLst>
              <c:ext xmlns:c16="http://schemas.microsoft.com/office/drawing/2014/chart" uri="{C3380CC4-5D6E-409C-BE32-E72D297353CC}">
                <c16:uniqueId val="{00000003-DAAF-46DA-9035-7666E338DF90}"/>
              </c:ext>
            </c:extLst>
          </c:dPt>
          <c:dPt>
            <c:idx val="2"/>
            <c:invertIfNegative val="0"/>
            <c:bubble3D val="0"/>
            <c:spPr>
              <a:solidFill>
                <a:srgbClr val="00B050"/>
              </a:solidFill>
              <a:ln>
                <a:noFill/>
              </a:ln>
              <a:effectLst/>
              <a:sp3d/>
            </c:spPr>
            <c:extLst>
              <c:ext xmlns:c16="http://schemas.microsoft.com/office/drawing/2014/chart" uri="{C3380CC4-5D6E-409C-BE32-E72D297353CC}">
                <c16:uniqueId val="{00000005-DAAF-46DA-9035-7666E338DF90}"/>
              </c:ext>
            </c:extLst>
          </c:dPt>
          <c:dPt>
            <c:idx val="3"/>
            <c:invertIfNegative val="0"/>
            <c:bubble3D val="0"/>
            <c:spPr>
              <a:solidFill>
                <a:srgbClr val="00B0F0"/>
              </a:solidFill>
              <a:ln>
                <a:noFill/>
              </a:ln>
              <a:effectLst/>
              <a:sp3d/>
            </c:spPr>
            <c:extLst>
              <c:ext xmlns:c16="http://schemas.microsoft.com/office/drawing/2014/chart" uri="{C3380CC4-5D6E-409C-BE32-E72D297353CC}">
                <c16:uniqueId val="{00000007-DAAF-46DA-9035-7666E338DF90}"/>
              </c:ext>
            </c:extLst>
          </c:dPt>
          <c:dPt>
            <c:idx val="4"/>
            <c:invertIfNegative val="0"/>
            <c:bubble3D val="0"/>
            <c:spPr>
              <a:solidFill>
                <a:srgbClr val="E28406"/>
              </a:solidFill>
              <a:ln>
                <a:noFill/>
              </a:ln>
              <a:effectLst/>
              <a:sp3d/>
            </c:spPr>
            <c:extLst>
              <c:ext xmlns:c16="http://schemas.microsoft.com/office/drawing/2014/chart" uri="{C3380CC4-5D6E-409C-BE32-E72D297353CC}">
                <c16:uniqueId val="{00000009-DAAF-46DA-9035-7666E338DF90}"/>
              </c:ext>
            </c:extLst>
          </c:dPt>
          <c:dPt>
            <c:idx val="5"/>
            <c:invertIfNegative val="0"/>
            <c:bubble3D val="0"/>
            <c:spPr>
              <a:solidFill>
                <a:srgbClr val="FFFF00"/>
              </a:solidFill>
              <a:ln>
                <a:noFill/>
              </a:ln>
              <a:effectLst/>
              <a:sp3d/>
            </c:spPr>
            <c:extLst>
              <c:ext xmlns:c16="http://schemas.microsoft.com/office/drawing/2014/chart" uri="{C3380CC4-5D6E-409C-BE32-E72D297353CC}">
                <c16:uniqueId val="{0000000B-DAAF-46DA-9035-7666E338DF90}"/>
              </c:ext>
            </c:extLst>
          </c:dPt>
          <c:dPt>
            <c:idx val="6"/>
            <c:invertIfNegative val="0"/>
            <c:bubble3D val="0"/>
            <c:spPr>
              <a:solidFill>
                <a:srgbClr val="7030A0"/>
              </a:solidFill>
              <a:ln>
                <a:noFill/>
              </a:ln>
              <a:effectLst/>
              <a:sp3d/>
            </c:spPr>
            <c:extLst>
              <c:ext xmlns:c16="http://schemas.microsoft.com/office/drawing/2014/chart" uri="{C3380CC4-5D6E-409C-BE32-E72D297353CC}">
                <c16:uniqueId val="{0000000D-DAAF-46DA-9035-7666E338DF90}"/>
              </c:ext>
            </c:extLst>
          </c:dPt>
          <c:dLbls>
            <c:dLbl>
              <c:idx val="1"/>
              <c:layout>
                <c:manualLayout>
                  <c:x val="9.0242526790750149E-3"/>
                  <c:y val="0.160401002506265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AAF-46DA-9035-7666E338DF90}"/>
                </c:ext>
              </c:extLst>
            </c:dLbl>
            <c:dLbl>
              <c:idx val="2"/>
              <c:layout>
                <c:manualLayout>
                  <c:x val="1.3536379018612479E-2"/>
                  <c:y val="0.147034252297410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AAF-46DA-9035-7666E338DF90}"/>
                </c:ext>
              </c:extLst>
            </c:dLbl>
            <c:spPr>
              <a:noFill/>
              <a:ln>
                <a:noFill/>
              </a:ln>
              <a:effectLst/>
            </c:spPr>
            <c:txPr>
              <a:bodyPr rot="0" spcFirstLastPara="1" vertOverflow="overflow" horzOverflow="overflow" vert="horz" wrap="square" lIns="182880" tIns="91440" rIns="0" bIns="822960" anchor="ctr" anchorCtr="1">
                <a:spAutoFit/>
              </a:bodyPr>
              <a:lstStyle/>
              <a:p>
                <a:pPr>
                  <a:defRPr sz="1200" b="1"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strRef>
              <c:f>'Annual Report'!$B$27:$I$27</c:f>
              <c:strCache>
                <c:ptCount val="8"/>
                <c:pt idx="0">
                  <c:v>30-Day T Bill</c:v>
                </c:pt>
                <c:pt idx="1">
                  <c:v>2-Year T Note</c:v>
                </c:pt>
                <c:pt idx="2">
                  <c:v>BC Govt/Corp Bond Index</c:v>
                </c:pt>
                <c:pt idx="3">
                  <c:v>LEQTF Fixed Income</c:v>
                </c:pt>
                <c:pt idx="4">
                  <c:v>S&amp;P 500 Index</c:v>
                </c:pt>
                <c:pt idx="5">
                  <c:v>LEQTF Vanguard Equities</c:v>
                </c:pt>
                <c:pt idx="6">
                  <c:v>LEQTF Dividend Equities</c:v>
                </c:pt>
                <c:pt idx="7">
                  <c:v>LEQTF Total</c:v>
                </c:pt>
              </c:strCache>
            </c:strRef>
          </c:cat>
          <c:val>
            <c:numRef>
              <c:f>'Annual Report'!$B$28:$I$28</c:f>
              <c:numCache>
                <c:formatCode>0.00%</c:formatCode>
                <c:ptCount val="8"/>
                <c:pt idx="0">
                  <c:v>3.6999999999999998E-2</c:v>
                </c:pt>
                <c:pt idx="1">
                  <c:v>-6.0000000000000001E-3</c:v>
                </c:pt>
                <c:pt idx="2">
                  <c:v>-1E-3</c:v>
                </c:pt>
                <c:pt idx="3">
                  <c:v>5.3E-3</c:v>
                </c:pt>
                <c:pt idx="4">
                  <c:v>0.19589999999999999</c:v>
                </c:pt>
                <c:pt idx="5">
                  <c:v>0.16569999999999999</c:v>
                </c:pt>
                <c:pt idx="6">
                  <c:v>0.10349999999999999</c:v>
                </c:pt>
                <c:pt idx="7">
                  <c:v>4.8599999999999997E-2</c:v>
                </c:pt>
              </c:numCache>
            </c:numRef>
          </c:val>
          <c:extLst>
            <c:ext xmlns:c16="http://schemas.microsoft.com/office/drawing/2014/chart" uri="{C3380CC4-5D6E-409C-BE32-E72D297353CC}">
              <c16:uniqueId val="{0000000E-DAAF-46DA-9035-7666E338DF90}"/>
            </c:ext>
          </c:extLst>
        </c:ser>
        <c:dLbls>
          <c:showLegendKey val="0"/>
          <c:showVal val="0"/>
          <c:showCatName val="0"/>
          <c:showSerName val="0"/>
          <c:showPercent val="0"/>
          <c:showBubbleSize val="0"/>
        </c:dLbls>
        <c:gapWidth val="50"/>
        <c:shape val="box"/>
        <c:axId val="363731200"/>
        <c:axId val="363734112"/>
        <c:axId val="0"/>
      </c:bar3DChart>
      <c:catAx>
        <c:axId val="363731200"/>
        <c:scaling>
          <c:orientation val="minMax"/>
        </c:scaling>
        <c:delete val="0"/>
        <c:axPos val="b"/>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3734112"/>
        <c:crosses val="autoZero"/>
        <c:auto val="1"/>
        <c:lblAlgn val="ctr"/>
        <c:lblOffset val="100"/>
        <c:noMultiLvlLbl val="0"/>
      </c:catAx>
      <c:valAx>
        <c:axId val="363734112"/>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3731200"/>
        <c:crosses val="autoZero"/>
        <c:crossBetween val="between"/>
      </c:valAx>
      <c:spPr>
        <a:noFill/>
        <a:ln>
          <a:noFill/>
        </a:ln>
        <a:effectLst/>
      </c:spPr>
    </c:plotArea>
    <c:legend>
      <c:legendPos val="b"/>
      <c:layout>
        <c:manualLayout>
          <c:xMode val="edge"/>
          <c:yMode val="edge"/>
          <c:x val="0.1474676842869044"/>
          <c:y val="0.81578828962169203"/>
          <c:w val="0.79607714564689658"/>
          <c:h val="0.16416158506502476"/>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592935686960684E-2"/>
          <c:y val="0.14577401834671652"/>
          <c:w val="0.48727874701936769"/>
          <c:h val="0.73815493360359663"/>
        </c:manualLayout>
      </c:layout>
      <c:pieChart>
        <c:varyColors val="1"/>
        <c:ser>
          <c:idx val="0"/>
          <c:order val="0"/>
          <c:spPr>
            <a:ln w="12700">
              <a:solidFill>
                <a:sysClr val="windowText" lastClr="000000"/>
              </a:solidFill>
              <a:prstDash val="solid"/>
            </a:ln>
          </c:spPr>
          <c:explosion val="10"/>
          <c:dPt>
            <c:idx val="0"/>
            <c:bubble3D val="0"/>
            <c:spPr>
              <a:solidFill>
                <a:srgbClr val="9966FF"/>
              </a:solidFill>
              <a:ln w="12700">
                <a:solidFill>
                  <a:sysClr val="windowText" lastClr="000000"/>
                </a:solidFill>
                <a:prstDash val="solid"/>
              </a:ln>
            </c:spPr>
            <c:extLst>
              <c:ext xmlns:c16="http://schemas.microsoft.com/office/drawing/2014/chart" uri="{C3380CC4-5D6E-409C-BE32-E72D297353CC}">
                <c16:uniqueId val="{00000001-067E-4705-9D0B-D2B987DA3241}"/>
              </c:ext>
            </c:extLst>
          </c:dPt>
          <c:dPt>
            <c:idx val="1"/>
            <c:bubble3D val="0"/>
            <c:explosion val="9"/>
            <c:spPr>
              <a:solidFill>
                <a:srgbClr val="66FF99"/>
              </a:solidFill>
              <a:ln w="12700">
                <a:solidFill>
                  <a:sysClr val="windowText" lastClr="000000"/>
                </a:solidFill>
                <a:prstDash val="solid"/>
              </a:ln>
            </c:spPr>
            <c:extLst>
              <c:ext xmlns:c16="http://schemas.microsoft.com/office/drawing/2014/chart" uri="{C3380CC4-5D6E-409C-BE32-E72D297353CC}">
                <c16:uniqueId val="{00000003-067E-4705-9D0B-D2B987DA3241}"/>
              </c:ext>
            </c:extLst>
          </c:dPt>
          <c:dPt>
            <c:idx val="2"/>
            <c:bubble3D val="0"/>
            <c:explosion val="6"/>
            <c:spPr>
              <a:solidFill>
                <a:srgbClr val="FF0000"/>
              </a:solidFill>
              <a:ln w="12700">
                <a:solidFill>
                  <a:sysClr val="windowText" lastClr="000000"/>
                </a:solidFill>
                <a:prstDash val="solid"/>
              </a:ln>
            </c:spPr>
            <c:extLst>
              <c:ext xmlns:c16="http://schemas.microsoft.com/office/drawing/2014/chart" uri="{C3380CC4-5D6E-409C-BE32-E72D297353CC}">
                <c16:uniqueId val="{00000005-067E-4705-9D0B-D2B987DA3241}"/>
              </c:ext>
            </c:extLst>
          </c:dPt>
          <c:dPt>
            <c:idx val="3"/>
            <c:bubble3D val="0"/>
            <c:explosion val="6"/>
            <c:spPr>
              <a:solidFill>
                <a:srgbClr val="FFFF66"/>
              </a:solidFill>
              <a:ln w="12700">
                <a:solidFill>
                  <a:sysClr val="windowText" lastClr="000000"/>
                </a:solidFill>
                <a:prstDash val="solid"/>
              </a:ln>
            </c:spPr>
            <c:extLst>
              <c:ext xmlns:c16="http://schemas.microsoft.com/office/drawing/2014/chart" uri="{C3380CC4-5D6E-409C-BE32-E72D297353CC}">
                <c16:uniqueId val="{00000007-067E-4705-9D0B-D2B987DA3241}"/>
              </c:ext>
            </c:extLst>
          </c:dPt>
          <c:dPt>
            <c:idx val="4"/>
            <c:bubble3D val="0"/>
            <c:extLst>
              <c:ext xmlns:c16="http://schemas.microsoft.com/office/drawing/2014/chart" uri="{C3380CC4-5D6E-409C-BE32-E72D297353CC}">
                <c16:uniqueId val="{00000008-067E-4705-9D0B-D2B987DA3241}"/>
              </c:ext>
            </c:extLst>
          </c:dPt>
          <c:dLbls>
            <c:dLbl>
              <c:idx val="2"/>
              <c:layout>
                <c:manualLayout>
                  <c:x val="0"/>
                  <c:y val="2.970297029702970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67E-4705-9D0B-D2B987DA3241}"/>
                </c:ext>
              </c:extLst>
            </c:dLbl>
            <c:dLbl>
              <c:idx val="3"/>
              <c:layout>
                <c:manualLayout>
                  <c:x val="-1.8518518518518519E-3"/>
                  <c:y val="-3.630363036303630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67E-4705-9D0B-D2B987DA3241}"/>
                </c:ext>
              </c:extLst>
            </c:dLbl>
            <c:spPr>
              <a:noFill/>
              <a:ln w="25400">
                <a:noFill/>
              </a:ln>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'LEQTF Asset Allocation'!$A$26:$A$30</c:f>
              <c:strCache>
                <c:ptCount val="5"/>
                <c:pt idx="0">
                  <c:v>Corporate Bonds</c:v>
                </c:pt>
                <c:pt idx="1">
                  <c:v>Equity Securities</c:v>
                </c:pt>
                <c:pt idx="2">
                  <c:v>Other Securities</c:v>
                </c:pt>
                <c:pt idx="3">
                  <c:v>Short-Term Funds</c:v>
                </c:pt>
                <c:pt idx="4">
                  <c:v>U.S. Treasury and Agency Securities</c:v>
                </c:pt>
              </c:strCache>
            </c:strRef>
          </c:cat>
          <c:val>
            <c:numRef>
              <c:f>'LEQTF Asset Allocation'!$B$26:$B$30</c:f>
              <c:numCache>
                <c:formatCode>0.0%</c:formatCode>
                <c:ptCount val="5"/>
                <c:pt idx="0">
                  <c:v>0.255</c:v>
                </c:pt>
                <c:pt idx="1">
                  <c:v>0.34079999999999999</c:v>
                </c:pt>
                <c:pt idx="2">
                  <c:v>7.7999999999999996E-3</c:v>
                </c:pt>
                <c:pt idx="3">
                  <c:v>3.2800000000000003E-2</c:v>
                </c:pt>
                <c:pt idx="4">
                  <c:v>0.36359999999999998</c:v>
                </c:pt>
              </c:numCache>
            </c:numRef>
          </c:val>
          <c:extLst>
            <c:ext xmlns:c16="http://schemas.microsoft.com/office/drawing/2014/chart" uri="{C3380CC4-5D6E-409C-BE32-E72D297353CC}">
              <c16:uniqueId val="{00000009-067E-4705-9D0B-D2B987DA3241}"/>
            </c:ext>
          </c:extLst>
        </c:ser>
        <c:dLbls>
          <c:showLegendKey val="0"/>
          <c:showVal val="0"/>
          <c:showCatName val="0"/>
          <c:showSerName val="0"/>
          <c:showPercent val="0"/>
          <c:showBubbleSize val="0"/>
          <c:showLeaderLines val="1"/>
        </c:dLbls>
        <c:firstSliceAng val="33"/>
      </c:pieChart>
      <c:spPr>
        <a:noFill/>
        <a:ln w="25400">
          <a:noFill/>
        </a:ln>
      </c:spPr>
    </c:plotArea>
    <c:legend>
      <c:legendPos val="r"/>
      <c:layout>
        <c:manualLayout>
          <c:xMode val="edge"/>
          <c:yMode val="edge"/>
          <c:x val="0.68790957581915169"/>
          <c:y val="0.199017177308282"/>
          <c:w val="0.29902006604013209"/>
          <c:h val="0.60442270211273086"/>
        </c:manualLayout>
      </c:layout>
      <c:overlay val="0"/>
      <c:spPr>
        <a:noFill/>
        <a:ln w="3175">
          <a:solidFill>
            <a:srgbClr val="000000"/>
          </a:solidFill>
          <a:prstDash val="solid"/>
        </a:ln>
      </c:spPr>
      <c:txPr>
        <a:bodyPr/>
        <a:lstStyle/>
        <a:p>
          <a:pPr>
            <a:defRPr sz="1200"/>
          </a:pPr>
          <a:endParaRPr lang="en-US"/>
        </a:p>
      </c:txPr>
    </c:legend>
    <c:plotVisOnly val="1"/>
    <c:dispBlanksAs val="zero"/>
    <c:showDLblsOverMax val="0"/>
  </c:chart>
  <c:spPr>
    <a:noFill/>
    <a:ln w="6350">
      <a:solidFill>
        <a:schemeClr val="tx1"/>
      </a:solidFill>
    </a:ln>
  </c:spPr>
  <c:txPr>
    <a:bodyPr/>
    <a:lstStyle/>
    <a:p>
      <a:pPr>
        <a:defRPr sz="1575" b="1" i="0" u="none" strike="noStrike" baseline="0">
          <a:solidFill>
            <a:srgbClr val="000000"/>
          </a:solidFill>
          <a:latin typeface="Arial"/>
          <a:ea typeface="Arial"/>
          <a:cs typeface="Arial"/>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0.01135</cdr:x>
      <cdr:y>0.32095</cdr:y>
    </cdr:from>
    <cdr:to>
      <cdr:x>0.05677</cdr:x>
      <cdr:y>0.56764</cdr:y>
    </cdr:to>
    <cdr:sp macro="" textlink="">
      <cdr:nvSpPr>
        <cdr:cNvPr id="2" name="TextBox 1"/>
        <cdr:cNvSpPr txBox="1"/>
      </cdr:nvSpPr>
      <cdr:spPr>
        <a:xfrm xmlns:a="http://schemas.openxmlformats.org/drawingml/2006/main">
          <a:off x="61914" y="1152525"/>
          <a:ext cx="247649" cy="885825"/>
        </a:xfrm>
        <a:prstGeom xmlns:a="http://schemas.openxmlformats.org/drawingml/2006/main" prst="rect">
          <a:avLst/>
        </a:prstGeom>
      </cdr:spPr>
      <cdr:txBody>
        <a:bodyPr xmlns:a="http://schemas.openxmlformats.org/drawingml/2006/main" vertOverflow="clip" vert="vert270" wrap="square" rtlCol="0" anchor="ctr"/>
        <a:lstStyle xmlns:a="http://schemas.openxmlformats.org/drawingml/2006/main"/>
        <a:p xmlns:a="http://schemas.openxmlformats.org/drawingml/2006/main">
          <a:r>
            <a:rPr lang="en-US" sz="1200" b="1"/>
            <a:t>$ Millions</a:t>
          </a:r>
        </a:p>
      </cdr:txBody>
    </cdr:sp>
  </cdr:relSizeAnchor>
</c:userShapes>
</file>

<file path=word/drawings/drawing2.xml><?xml version="1.0" encoding="utf-8"?>
<c:userShapes xmlns:c="http://schemas.openxmlformats.org/drawingml/2006/chart">
  <cdr:relSizeAnchor xmlns:cdr="http://schemas.openxmlformats.org/drawingml/2006/chartDrawing">
    <cdr:from>
      <cdr:x>0.76486</cdr:x>
      <cdr:y>0.33595</cdr:y>
    </cdr:from>
    <cdr:to>
      <cdr:x>0.89459</cdr:x>
      <cdr:y>0.58693</cdr:y>
    </cdr:to>
    <cdr:sp macro="" textlink="">
      <cdr:nvSpPr>
        <cdr:cNvPr id="3" name="TextBox 2">
          <a:extLst xmlns:a="http://schemas.openxmlformats.org/drawingml/2006/main">
            <a:ext uri="{FF2B5EF4-FFF2-40B4-BE49-F238E27FC236}">
              <a16:creationId xmlns:a16="http://schemas.microsoft.com/office/drawing/2014/main" id="{DCC063A5-9E2A-0E5A-DBC6-77959A1930CF}"/>
            </a:ext>
          </a:extLst>
        </cdr:cNvPr>
        <cdr:cNvSpPr txBox="1"/>
      </cdr:nvSpPr>
      <cdr:spPr>
        <a:xfrm xmlns:a="http://schemas.openxmlformats.org/drawingml/2006/main">
          <a:off x="5391150" y="1223964"/>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b="1">
              <a:solidFill>
                <a:srgbClr val="FF0000"/>
              </a:solidFill>
            </a:rPr>
            <a:t>5 Yr. Moving Average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5E9C6A19CC2EC4E9B9E7E54A360DEB2" ma:contentTypeVersion="4" ma:contentTypeDescription="Create a new document." ma:contentTypeScope="" ma:versionID="84e4c1d4c40d66480841aabdddce53e9">
  <xsd:schema xmlns:xsd="http://www.w3.org/2001/XMLSchema" xmlns:xs="http://www.w3.org/2001/XMLSchema" xmlns:p="http://schemas.microsoft.com/office/2006/metadata/properties" xmlns:ns3="2a0a5319-c25d-4d65-b272-8e358702f5d2" targetNamespace="http://schemas.microsoft.com/office/2006/metadata/properties" ma:root="true" ma:fieldsID="8beae6fe32e14dfbf655147d8158c59a" ns3:_="">
    <xsd:import namespace="2a0a5319-c25d-4d65-b272-8e358702f5d2"/>
    <xsd:element name="properties">
      <xsd:complexType>
        <xsd:sequence>
          <xsd:element name="documentManagement">
            <xsd:complexType>
              <xsd:all>
                <xsd:element ref="ns3:MediaServiceMetadata" minOccurs="0"/>
                <xsd:element ref="ns3:MediaServiceFastMetadata"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0a5319-c25d-4d65-b272-8e358702f5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2a0a5319-c25d-4d65-b272-8e358702f5d2" xsi:nil="true"/>
  </documentManagement>
</p:properties>
</file>

<file path=customXml/itemProps1.xml><?xml version="1.0" encoding="utf-8"?>
<ds:datastoreItem xmlns:ds="http://schemas.openxmlformats.org/officeDocument/2006/customXml" ds:itemID="{39F40FFA-A513-45AD-8BF5-F451FD3C73DB}">
  <ds:schemaRefs>
    <ds:schemaRef ds:uri="http://schemas.openxmlformats.org/officeDocument/2006/bibliography"/>
  </ds:schemaRefs>
</ds:datastoreItem>
</file>

<file path=customXml/itemProps2.xml><?xml version="1.0" encoding="utf-8"?>
<ds:datastoreItem xmlns:ds="http://schemas.openxmlformats.org/officeDocument/2006/customXml" ds:itemID="{365193AF-8482-4BE8-B008-3E72818E0A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0a5319-c25d-4d65-b272-8e358702f5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F09FF4-50B6-4CF0-8B36-474B6D9C445D}">
  <ds:schemaRefs>
    <ds:schemaRef ds:uri="http://schemas.microsoft.com/sharepoint/v3/contenttype/forms"/>
  </ds:schemaRefs>
</ds:datastoreItem>
</file>

<file path=customXml/itemProps4.xml><?xml version="1.0" encoding="utf-8"?>
<ds:datastoreItem xmlns:ds="http://schemas.openxmlformats.org/officeDocument/2006/customXml" ds:itemID="{0FB197C0-E6AF-4BA6-B022-B714EE266AD5}">
  <ds:schemaRefs>
    <ds:schemaRef ds:uri="http://purl.org/dc/dcmitype/"/>
    <ds:schemaRef ds:uri="http://www.w3.org/XML/1998/namespace"/>
    <ds:schemaRef ds:uri="http://schemas.microsoft.com/office/2006/documentManagement/types"/>
    <ds:schemaRef ds:uri="2a0a5319-c25d-4d65-b272-8e358702f5d2"/>
    <ds:schemaRef ds:uri="http://schemas.microsoft.com/office/2006/metadata/properties"/>
    <ds:schemaRef ds:uri="http://purl.org/dc/terms/"/>
    <ds:schemaRef ds:uri="http://purl.org/dc/elements/1.1/"/>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5194</Words>
  <Characters>29608</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Broussard</dc:creator>
  <cp:keywords/>
  <dc:description/>
  <cp:lastModifiedBy>John Broussard</cp:lastModifiedBy>
  <cp:revision>2</cp:revision>
  <cp:lastPrinted>2023-11-30T14:20:00Z</cp:lastPrinted>
  <dcterms:created xsi:type="dcterms:W3CDTF">2023-12-13T14:35:00Z</dcterms:created>
  <dcterms:modified xsi:type="dcterms:W3CDTF">2023-12-13T14:35:00Z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582978903</vt:i4>
  </property>
  <property fmtid="{D5CDD505-2E9C-101B-9397-08002B2CF9AE}" pid="3" name="MSIP_Label_defa4170-0d19-0005-0004-bc88714345d2_Enabled">
    <vt:lpwstr>true</vt:lpwstr>
  </property>
  <property fmtid="{D5CDD505-2E9C-101B-9397-08002B2CF9AE}" pid="4" name="MSIP_Label_defa4170-0d19-0005-0004-bc88714345d2_SetDate">
    <vt:lpwstr>2023-11-27T16:54:42Z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9316e383-b0c4-4bdc-88b7-89d04bc8dc2f</vt:lpwstr>
  </property>
  <property fmtid="{D5CDD505-2E9C-101B-9397-08002B2CF9AE}" pid="8" name="MSIP_Label_defa4170-0d19-0005-0004-bc88714345d2_ActionId">
    <vt:lpwstr>b95b4b24-91b1-4141-970f-91021a3d9833</vt:lpwstr>
  </property>
  <property fmtid="{D5CDD505-2E9C-101B-9397-08002B2CF9AE}" pid="9" name="MSIP_Label_defa4170-0d19-0005-0004-bc88714345d2_ContentBits">
    <vt:lpwstr>0</vt:lpwstr>
  </property>
  <property fmtid="{D5CDD505-2E9C-101B-9397-08002B2CF9AE}" pid="10" name="ContentTypeId">
    <vt:lpwstr>0x01010025E9C6A19CC2EC4E9B9E7E54A360DEB2</vt:lpwstr>
  </property>
</Properties>
</file>